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omments.xml" ContentType="application/vnd.openxmlformats-officedocument.wordprocessingml.comments+xml"/>
  <Override PartName="/word/document.xml" ContentType="application/vnd.openxmlformats-officedocument.wordprocessingml.document.main+xml"/>
  <Override PartName="/word/footnotes.xml" ContentType="application/vnd.openxmlformats-officedocument.wordprocessingml.footnotes+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body>
    <w:bookmarkStart w:id="0" w:name="_top"/>
    <w:bookmarkEnd w:id="0"/>
    <w:p>
      <w:pPr>
        <w:pStyle w:val="16"/>
        <w:widowControl w:val="off"/>
      </w:pPr>
      <w:r>
        <w:rPr>
          <w:rFonts w:eastAsia="함초롬바탕"/>
        </w:rPr>
        <w:t>문화경영연구</w:t>
      </w:r>
    </w:p>
    <w:p>
      <w:pPr>
        <w:pStyle w:val="16"/>
        <w:widowControl w:val="off"/>
      </w:pPr>
      <w:r>
        <w:rPr>
          <w:rFonts w:ascii="함초롬바탕" w:eastAsia="함초롬바탕"/>
        </w:rPr>
        <w:t>제23권 제X호 2026년 X월 pp.1</w:t>
      </w:r>
      <w:r>
        <w:rPr>
          <w:rFonts w:ascii="함초롬바탕"/>
        </w:rPr>
        <w:t>～</w:t>
      </w:r>
      <w:r>
        <w:rPr>
          <w:rFonts w:ascii="함초롬바탕"/>
        </w:rPr>
        <w:t>1</w:t>
      </w:r>
    </w:p>
    <w:p>
      <w:pPr>
        <w:pStyle w:val="16"/>
        <w:widowControl w:val="off"/>
      </w:pPr>
      <w:r>
        <w:rPr>
          <w:rFonts w:ascii="함초롬바탕" w:eastAsia="함초롬바탕"/>
        </w:rPr>
        <w:t>사단법인 대중문화예술협회</w:t>
      </w:r>
    </w:p>
    <w:p>
      <w:pPr>
        <w:pStyle w:val="17"/>
        <w:widowControl w:val="off"/>
      </w:pPr>
      <w:commentRangeStart w:id="0"/>
      <w:r>
        <w:rPr/>
        <w:commentReference w:id="0"/>
        <w:t xml:space="preserve">70년대와 90년대 중국에서 한류확산의 배경 분석 </w:t>
      </w:r>
      <w:commentRangeEnd w:id="0"/>
    </w:p>
    <w:p>
      <w:pPr>
        <w:pStyle w:val="24"/>
        <w:widowControl w:val="off"/>
      </w:pPr>
      <w:commentRangeStart w:id="1"/>
      <w:r>
        <w:rPr>
          <w:rFonts w:eastAsia="HY신명조"/>
        </w:rPr>
        <w:t>신경환</w:t>
      </w:r>
      <w:r>
        <w:rPr>
          <w:vertAlign w:val="superscript"/>
        </w:rPr>
        <w:footnoteReference w:id="4"/>
      </w:r>
      <w:r>
        <w:rPr>
          <w:rFonts w:ascii="HY신명조" w:eastAsia="HY신명조"/>
        </w:rPr>
        <w:t xml:space="preserve"> 오민정</w:t>
      </w:r>
      <w:r>
        <w:rPr>
          <w:vertAlign w:val="superscript"/>
        </w:rPr>
        <w:footnoteReference w:id="5"/>
      </w:r>
      <w:r>
        <w:rPr>
          <w:rFonts w:ascii="HY신명조"/>
        </w:rPr>
        <w:commentReference w:id="1"/>
        <w:t xml:space="preserve"> </w:t>
      </w:r>
      <w:commentRangeEnd w:id="1"/>
    </w:p>
    <w:tbl>
      <w:tblPr>
        <w:tblOverlap w:val="never"/>
        <w:tblW w:w="7880"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28" w:type="dxa"/>
        </w:tblCellMar>
      </w:tblPr>
      <w:tblGrid>
        <w:gridCol w:w="226"/>
        <w:gridCol w:w="2287"/>
        <w:gridCol w:w="1075"/>
        <w:gridCol w:w="759"/>
        <w:gridCol w:w="906"/>
        <w:gridCol w:w="2401"/>
        <w:gridCol w:w="226"/>
      </w:tblGrid>
      <w:tr>
        <w:trPr>
          <w:trHeight w:val="56"/>
        </w:trPr>
        <w:tc>
          <w:tcPr>
            <w:tcW w:w="3589" w:type="dxa"/>
            <w:gridSpan w:val="3"/>
            <w:tcBorders>
              <w:top w:val="none" w:color="000000" w:sz="3"/>
              <w:left w:val="none" w:color="000000" w:sz="3"/>
              <w:bottom w:val="single" w:color="000000" w:sz="3"/>
              <w:right w:val="none" w:color="000000" w:sz="3"/>
            </w:tcBorders>
            <w:vAlign w:val="center"/>
          </w:tcPr>
          <w:p>
            <w:pPr>
              <w:pStyle w:val="0"/>
              <w:widowControl w:val="off"/>
              <w:rPr>
                <w:color w:val="000000"/>
                <w:sz w:val="12"/>
                <w:shd w:val="clear" w:color="000000"/>
              </w:rPr>
            </w:pPr>
          </w:p>
        </w:tc>
        <w:tc>
          <w:tcPr>
            <w:tcW w:w="759" w:type="dxa"/>
            <w:vMerge w:val="restart"/>
            <w:tcBorders>
              <w:top w:val="none" w:color="000000" w:sz="3"/>
              <w:left w:val="none" w:color="000000" w:sz="3"/>
              <w:bottom w:val="none" w:color="000000" w:sz="3"/>
              <w:right w:val="none" w:color="000000" w:sz="3"/>
            </w:tcBorders>
            <w:vAlign w:val="center"/>
          </w:tcPr>
          <w:p>
            <w:pPr>
              <w:pStyle w:val="19"/>
              <w:widowControl w:val="off"/>
            </w:pPr>
            <w:r>
              <w:rPr/>
              <w:t>&lt;</w:t>
            </w:r>
            <w:commentRangeStart w:id="2"/>
            <w:r>
              <w:rPr/>
              <w:commentReference w:id="2"/>
              <w:t>요 약</w:t>
            </w:r>
            <w:commentRangeEnd w:id="2"/>
            <w:r>
              <w:rPr/>
              <w:t>&gt;</w:t>
            </w:r>
          </w:p>
        </w:tc>
        <w:tc>
          <w:tcPr>
            <w:tcW w:w="3532" w:type="dxa"/>
            <w:gridSpan w:val="3"/>
            <w:tcBorders>
              <w:top w:val="none" w:color="000000" w:sz="3"/>
              <w:left w:val="none" w:color="000000" w:sz="3"/>
              <w:bottom w:val="single" w:color="000000" w:sz="3"/>
              <w:right w:val="none" w:color="000000" w:sz="3"/>
            </w:tcBorders>
            <w:vAlign w:val="center"/>
          </w:tcPr>
          <w:p>
            <w:pPr>
              <w:pStyle w:val="0"/>
              <w:widowControl w:val="off"/>
              <w:rPr>
                <w:color w:val="000000"/>
                <w:sz w:val="12"/>
                <w:shd w:val="clear" w:color="000000"/>
              </w:rPr>
            </w:pPr>
          </w:p>
        </w:tc>
      </w:tr>
      <w:tr>
        <w:trPr>
          <w:trHeight w:val="56"/>
        </w:trPr>
        <w:tc>
          <w:tcPr>
            <w:tcW w:w="3589" w:type="dxa"/>
            <w:gridSpan w:val="3"/>
            <w:tcBorders>
              <w:top w:val="single" w:color="000000" w:sz="3"/>
              <w:left w:val="single" w:color="000000" w:sz="3"/>
              <w:bottom w:val="none" w:color="000000" w:sz="3"/>
              <w:right w:val="none" w:color="000000" w:sz="3"/>
            </w:tcBorders>
            <w:vAlign w:val="center"/>
          </w:tcPr>
          <w:p>
            <w:pPr>
              <w:pStyle w:val="0"/>
              <w:widowControl w:val="off"/>
              <w:rPr>
                <w:color w:val="000000"/>
                <w:sz w:val="12"/>
                <w:shd w:val="clear" w:color="000000"/>
              </w:rPr>
            </w:pPr>
          </w:p>
        </w:tc>
        <w:tc>
          <w:tcPr>
            <w:tcW w:w="759" w:type="dxa"/>
            <w:vMerge/>
            <w:tcBorders>
              <w:top w:val="none" w:color="000000" w:sz="3"/>
              <w:left w:val="none" w:color="000000" w:sz="3"/>
              <w:bottom w:val="none" w:color="000000" w:sz="3"/>
              <w:right w:val="none" w:color="000000" w:sz="3"/>
            </w:tcBorders>
          </w:tcPr>
          <w:p/>
        </w:tc>
        <w:tc>
          <w:tcPr>
            <w:tcW w:w="3532" w:type="dxa"/>
            <w:gridSpan w:val="3"/>
            <w:tcBorders>
              <w:top w:val="single" w:color="000000" w:sz="3"/>
              <w:left w:val="none" w:color="000000" w:sz="3"/>
              <w:bottom w:val="none" w:color="000000" w:sz="3"/>
              <w:right w:val="single" w:color="000000" w:sz="3"/>
            </w:tcBorders>
            <w:vAlign w:val="center"/>
          </w:tcPr>
          <w:p>
            <w:pPr>
              <w:pStyle w:val="0"/>
              <w:widowControl w:val="off"/>
              <w:rPr>
                <w:color w:val="000000"/>
                <w:sz w:val="12"/>
                <w:shd w:val="clear" w:color="000000"/>
              </w:rPr>
            </w:pPr>
          </w:p>
        </w:tc>
      </w:tr>
      <w:tr>
        <w:trPr>
          <w:trHeight w:val="56"/>
        </w:trPr>
        <w:tc>
          <w:tcPr>
            <w:tcW w:w="226" w:type="dxa"/>
            <w:tcBorders>
              <w:top w:val="none" w:color="000000" w:sz="3"/>
              <w:left w:val="single" w:color="000000" w:sz="3"/>
              <w:bottom w:val="none" w:color="000000" w:sz="3"/>
              <w:right w:val="none" w:color="000000" w:sz="3"/>
            </w:tcBorders>
            <w:vAlign w:val="center"/>
          </w:tcPr>
          <w:p>
            <w:pPr>
              <w:pStyle w:val="0"/>
              <w:widowControl w:val="off"/>
              <w:rPr/>
            </w:pPr>
          </w:p>
        </w:tc>
        <w:tc>
          <w:tcPr>
            <w:tcW w:w="7428" w:type="dxa"/>
            <w:gridSpan w:val="5"/>
            <w:vMerge w:val="restart"/>
            <w:tcBorders>
              <w:top w:val="none" w:color="000000" w:sz="3"/>
              <w:left w:val="none" w:color="000000" w:sz="3"/>
              <w:bottom w:val="none" w:color="000000" w:sz="3"/>
              <w:right w:val="none" w:color="000000" w:sz="3"/>
            </w:tcBorders>
            <w:vAlign w:val="center"/>
          </w:tcPr>
          <w:p>
            <w:pPr>
              <w:pStyle w:val="20"/>
              <w:widowControl w:val="off"/>
            </w:pPr>
            <w:r>
              <w:rPr>
                <w:rFonts w:ascii="함초롬바탕" w:eastAsia="함초롬바탕"/>
              </w:rPr>
              <w:t xml:space="preserve">본 연구는 한류의 발전 배경에 대해 분석하고자 한다. </w:t>
            </w:r>
            <w:r>
              <w:rPr>
                <w:rFonts w:ascii="함초롬바탕" w:eastAsia="함초롬바탕"/>
              </w:rPr>
              <w:t>현재 한류는 아시아를 넘어 현대대중문화를 선도하는 미국과 유럽에까지 확대되고 있다. 특히 중동과 북아프리카 등 한국과 전혀 다른 문화적 배경을 가진 지역에서도 한류에 대한 호응이 일어나고 있어 국제적인 주목을 받고 있다. 그러나 한류의 성공이 민족적 우수성에 기인했다거나 문화적 우월성으로 해석하는 오류는 위험하다. 한류의 시작은 당초 해외판매를 고려하지 않은 국내수요기반의 영상 콘텐츠가 중국과 일본 등 같은 문화권의 주변국에서 호응받기 시작하면서 발전되어 왔다.</w:t>
            </w:r>
            <w:r>
              <w:rPr>
                <w:rFonts w:ascii="함초롬바탕"/>
              </w:rPr>
              <w:t xml:space="preserve"> </w:t>
            </w:r>
          </w:p>
        </w:tc>
        <w:tc>
          <w:tcPr>
            <w:tcW w:w="226" w:type="dxa"/>
            <w:tcBorders>
              <w:top w:val="none" w:color="000000" w:sz="3"/>
              <w:left w:val="none" w:color="000000" w:sz="3"/>
              <w:bottom w:val="none" w:color="000000" w:sz="3"/>
              <w:right w:val="single" w:color="000000" w:sz="3"/>
            </w:tcBorders>
            <w:vAlign w:val="center"/>
          </w:tcPr>
          <w:p>
            <w:pPr>
              <w:pStyle w:val="0"/>
              <w:widowControl w:val="off"/>
              <w:spacing w:line="480" w:lineRule="auto"/>
              <w:rPr>
                <w:color w:val="000000"/>
                <w:sz w:val="18"/>
              </w:rPr>
            </w:pPr>
          </w:p>
        </w:tc>
      </w:tr>
      <w:tr>
        <w:trPr>
          <w:trHeight w:val="56"/>
        </w:trPr>
        <w:tc>
          <w:tcPr>
            <w:tcW w:w="226" w:type="dxa"/>
            <w:tcBorders>
              <w:top w:val="none" w:color="000000" w:sz="3"/>
              <w:left w:val="single" w:color="000000" w:sz="3"/>
              <w:bottom w:val="none" w:color="000000" w:sz="3"/>
              <w:right w:val="none" w:color="000000" w:sz="3"/>
            </w:tcBorders>
            <w:vAlign w:val="center"/>
          </w:tcPr>
          <w:p>
            <w:pPr>
              <w:pStyle w:val="0"/>
              <w:widowControl w:val="off"/>
              <w:rPr/>
            </w:pPr>
          </w:p>
        </w:tc>
        <w:tc>
          <w:tcPr>
            <w:tcW w:w="7428" w:type="dxa"/>
            <w:gridSpan w:val="5"/>
            <w:vMerge/>
            <w:tcBorders>
              <w:top w:val="none" w:color="000000" w:sz="3"/>
              <w:left w:val="none" w:color="000000" w:sz="3"/>
              <w:bottom w:val="none" w:color="000000" w:sz="3"/>
              <w:right w:val="none" w:color="000000" w:sz="3"/>
            </w:tcBorders>
          </w:tcPr>
          <w:p/>
        </w:tc>
        <w:tc>
          <w:tcPr>
            <w:tcW w:w="226" w:type="dxa"/>
            <w:tcBorders>
              <w:top w:val="none" w:color="000000" w:sz="3"/>
              <w:left w:val="none" w:color="000000" w:sz="3"/>
              <w:bottom w:val="none" w:color="000000" w:sz="3"/>
              <w:right w:val="single" w:color="000000" w:sz="3"/>
            </w:tcBorders>
            <w:vAlign w:val="center"/>
          </w:tcPr>
          <w:p>
            <w:pPr>
              <w:pStyle w:val="0"/>
              <w:widowControl w:val="off"/>
              <w:spacing w:line="480" w:lineRule="auto"/>
              <w:rPr>
                <w:color w:val="000000"/>
                <w:sz w:val="18"/>
              </w:rPr>
            </w:pPr>
          </w:p>
        </w:tc>
      </w:tr>
      <w:tr>
        <w:trPr>
          <w:trHeight w:val="56"/>
        </w:trPr>
        <w:tc>
          <w:tcPr>
            <w:tcW w:w="2514" w:type="dxa"/>
            <w:gridSpan w:val="2"/>
            <w:tcBorders>
              <w:top w:val="none" w:color="000000" w:sz="3"/>
              <w:left w:val="single" w:color="000000" w:sz="3"/>
              <w:bottom w:val="single" w:color="000000" w:sz="3"/>
              <w:right w:val="none" w:color="000000" w:sz="3"/>
            </w:tcBorders>
            <w:vAlign w:val="center"/>
          </w:tcPr>
          <w:p>
            <w:pPr>
              <w:pStyle w:val="0"/>
              <w:widowControl w:val="off"/>
              <w:rPr>
                <w:color w:val="000000"/>
                <w:sz w:val="12"/>
                <w:shd w:val="clear" w:color="000000"/>
              </w:rPr>
            </w:pPr>
          </w:p>
        </w:tc>
        <w:tc>
          <w:tcPr>
            <w:tcW w:w="2740" w:type="dxa"/>
            <w:gridSpan w:val="3"/>
            <w:tcBorders>
              <w:top w:val="none" w:color="000000" w:sz="3"/>
              <w:left w:val="none" w:color="000000" w:sz="3"/>
              <w:bottom w:val="single" w:color="000000" w:sz="3"/>
              <w:right w:val="none" w:color="000000" w:sz="3"/>
            </w:tcBorders>
            <w:vAlign w:val="center"/>
          </w:tcPr>
          <w:p>
            <w:pPr>
              <w:pStyle w:val="0"/>
              <w:widowControl w:val="off"/>
              <w:spacing w:line="480" w:lineRule="auto"/>
              <w:rPr>
                <w:color w:val="000000"/>
                <w:sz w:val="18"/>
              </w:rPr>
            </w:pPr>
          </w:p>
        </w:tc>
        <w:tc>
          <w:tcPr>
            <w:tcW w:w="2627" w:type="dxa"/>
            <w:gridSpan w:val="2"/>
            <w:tcBorders>
              <w:top w:val="none" w:color="000000" w:sz="3"/>
              <w:left w:val="none" w:color="000000" w:sz="3"/>
              <w:bottom w:val="single" w:color="000000" w:sz="3"/>
              <w:right w:val="single" w:color="000000" w:sz="3"/>
            </w:tcBorders>
            <w:vAlign w:val="center"/>
          </w:tcPr>
          <w:p>
            <w:pPr>
              <w:pStyle w:val="0"/>
              <w:widowControl w:val="off"/>
              <w:spacing w:line="480" w:lineRule="auto"/>
              <w:rPr>
                <w:color w:val="000000"/>
                <w:sz w:val="18"/>
              </w:rPr>
            </w:pPr>
          </w:p>
        </w:tc>
      </w:tr>
    </w:tbl>
    <w:p>
      <w:pPr>
        <w:pStyle w:val="10"/>
        <w:widowControl w:val="off"/>
      </w:pPr>
    </w:p>
    <w:p>
      <w:pPr>
        <w:pStyle w:val="21"/>
        <w:widowControl w:val="off"/>
      </w:pPr>
      <w:r>
        <w:rPr>
          <w:rFonts w:ascii="함초롬바탕" w:eastAsia="함초롬바탕"/>
        </w:rPr>
        <w:t>주제어 : 지속가능성, 회복탄력성, 사회적 책임, 이해관계자 전략</w:t>
      </w:r>
    </w:p>
    <w:p>
      <w:r>
        <w:br w:type="page"/>
      </w:r>
    </w:p>
    <w:p>
      <w:pPr>
        <w:pStyle w:val="4"/>
        <w:widowControl w:val="off"/>
      </w:pPr>
      <w:r>
        <w:rPr>
          <w:rFonts w:ascii="HY견명조" w:eastAsia="HY견명조"/>
        </w:rPr>
        <w:t>I. 서  론</w:t>
      </w:r>
    </w:p>
    <w:p>
      <w:pPr>
        <w:pStyle w:val="3"/>
        <w:widowControl w:val="off"/>
      </w:pPr>
      <w:r>
        <w:rPr>
          <w:rFonts w:ascii="함초롬바탕" w:eastAsia="함초롬바탕"/>
        </w:rPr>
        <w:t>현재 중국에서 한류는 더 이상 돌풍이라고 할 수 없다. 이미 중국대중문화의 한 분야로 분류해야 할 만큼 익숙해져 있다. 현재 중국에서 한국의 한류는 초기 드라마를 시작으로 K&amp;#8208;Pop에 이어 이제는 의류와 음식에 이르기까지 전반적인 문화 각 분야에서 특성에 맞게 진행되고 있다.</w:t>
      </w:r>
    </w:p>
    <w:p>
      <w:pPr>
        <w:pStyle w:val="0"/>
        <w:widowControl w:val="off"/>
        <w:ind w:firstLine="200"/>
      </w:pPr>
      <w:r>
        <w:rPr>
          <w:rFonts w:ascii="함초롬바탕" w:eastAsia="함초롬바탕"/>
          <w:w w:val="95"/>
        </w:rPr>
        <w:t>중국에서 한류가 시작된 1990년대 후반 문화적 자부심이 강한 중국에서 다른 나라의 문화가 선호되는 것은 의외적인 사건이었다. 사실 이 시기 한류를 받아들인 중국보다 한류의 근원지인 한국은 오히려 더욱 의아해하는 입장이었다고 할 수 있을 것이다. 당시 한국은 문화 수입국으로서 미국의 헐리우드영화의 주요 수입국이었다. 실제로 한국 영화시장만 놓고 봐도 70%는 미국 헐리우드영화에 잠식되어 있었다.&lt;표1&gt; 이러한 성적마저도 스크린 쿼터제를 통한 정책적 지원이 있었기에 가능했다. 이 시기 한국은 국내 영상시장을 보호하는데 정책적인 주안점을 두고 있었기 때문에 영상물 수출에 대한 개념조차 희박했다고 할 수 있다.</w:t>
      </w:r>
    </w:p>
    <w:p>
      <w:pPr>
        <w:pStyle w:val="3"/>
        <w:widowControl w:val="off"/>
      </w:pPr>
      <w:commentRangeStart w:id="3"/>
      <w:r>
        <w:rPr>
          <w:rFonts w:ascii="함초롬바탕" w:eastAsia="함초롬바탕"/>
        </w:rPr>
        <w:commentReference w:id="3"/>
        <w:t>오민정 외(2023)</w:t>
      </w:r>
      <w:commentRangeEnd w:id="3"/>
      <w:r>
        <w:rPr>
          <w:rFonts w:ascii="함초롬바탕" w:eastAsia="함초롬바탕"/>
        </w:rPr>
        <w:t xml:space="preserve">는 복잡계 환경에서 이 두 개념이 상호 독립적인 것이 아니라 전략적으로 통합되어야 함을 강조하였다. 특히 제조업 기반 기업에서 ESG 요구와 공급망 리스크가 동시에 작용할 경우, 이중의 대응 전략이 필요하다는 점을 지적하였다. 이러한 통합 전략의 중요성은 </w:t>
      </w:r>
      <w:commentRangeStart w:id="4"/>
      <w:r>
        <w:rPr>
          <w:rFonts w:ascii="함초롬바탕"/>
        </w:rPr>
        <w:commentReference w:id="4"/>
        <w:t>Smith and Nguyen(2021)</w:t>
      </w:r>
      <w:commentRangeEnd w:id="4"/>
      <w:r>
        <w:rPr>
          <w:rFonts w:ascii="함초롬바탕" w:eastAsia="함초롬바탕"/>
        </w:rPr>
        <w:t>의 이론적 분석에서도 확인된다. 이들은 회복탄력성을 자원 활용, 민첩성, 조직문화의 유연성 등 세 가지 구성 요소를 통해 구조화하였고, 이를 통해 지속가능성과의 정합성을 확보할 수 있다고 보았다.</w:t>
      </w:r>
    </w:p>
    <w:p>
      <w:pPr>
        <w:pStyle w:val="4"/>
        <w:widowControl w:val="off"/>
      </w:pPr>
      <w:r>
        <w:rPr>
          <w:rFonts w:ascii="HY견명조" w:eastAsia="HY견명조"/>
        </w:rPr>
        <w:t>II. 선행연구 검토 및 연구가설 설정</w:t>
      </w:r>
    </w:p>
    <w:p>
      <w:pPr>
        <w:pStyle w:val="3"/>
        <w:widowControl w:val="off"/>
        <w:rPr>
          <w:rFonts w:ascii="함초롬바탕" w:eastAsia="함초롬바탕"/>
          <w:color w:val="000000"/>
        </w:rPr>
      </w:pPr>
    </w:p>
    <w:p>
      <w:pPr>
        <w:pStyle w:val="0"/>
        <w:widowControl w:val="off"/>
        <w:ind w:firstLine="200"/>
      </w:pPr>
      <w:r>
        <w:rPr>
          <w:rFonts w:ascii="함초롬바탕" w:eastAsia="함초롬바탕"/>
          <w:w w:val="95"/>
        </w:rPr>
        <w:t>중국에서의 한류는 매우 뜻밖의 결과라고 할 수 있다. 그러나 한국의 의도적으로 중국의 문화시장을 공략하지 않았다면 중국에서 한류의 확산을 분석하는 것은 더욱 중요한 의미가 있을 수 있다. 특히 90년대 후반 한류가 확산될 수 있었던 중국의 시대적 배경을 분석하는 것은 향후 한류의 지속적인 발전을 위해서 반드시 필요하다.</w:t>
      </w:r>
    </w:p>
    <w:p>
      <w:pPr>
        <w:pStyle w:val="3"/>
        <w:widowControl w:val="off"/>
        <w:rPr>
          <w:rFonts w:ascii="함초롬바탕" w:eastAsia="함초롬바탕"/>
          <w:color w:val="000000"/>
        </w:rPr>
      </w:pPr>
    </w:p>
    <w:p>
      <w:pPr>
        <w:pStyle w:val="5"/>
        <w:widowControl w:val="off"/>
      </w:pPr>
      <w:r>
        <w:rPr/>
        <w:t>2.1 90년대 중국 대중문화 시장환경의 변화</w:t>
      </w:r>
    </w:p>
    <w:p>
      <w:pPr>
        <w:pStyle w:val="3"/>
        <w:widowControl w:val="off"/>
        <w:rPr>
          <w:rFonts w:ascii="함초롬바탕" w:eastAsia="함초롬바탕"/>
          <w:color w:val="000000"/>
        </w:rPr>
      </w:pPr>
    </w:p>
    <w:p>
      <w:pPr>
        <w:pStyle w:val="3"/>
        <w:widowControl w:val="off"/>
      </w:pPr>
      <w:r>
        <w:rPr>
          <w:rFonts w:ascii="함초롬바탕" w:eastAsia="함초롬바탕"/>
        </w:rPr>
        <w:t>90년대 중반 중국의 개혁개방의 성과가 가시적으로 나타나기 시작하면서 TV보급이 확대되었고 무엇보다 주목해야 할 것은 비디오시대를 거치지 않고 곧바로 DVD플레이어 시대로 진입했다는 사실이다. DVD는 비디오테이프에 비해 상대적으로 원가가 값싼 CD를 사용하기 때문에 대중적인 확산이 빨리 진행될 수 있었다. 또한 반복적으로 복사를 해도 화질에 영향을 미치지 않았기 때문에 중국 대중문화 확산의 최대 장점인 해적판 CD의 대량생산이 가능했다.  (</w:t>
      </w:r>
      <w:commentRangeStart w:id="5"/>
      <w:r>
        <w:rPr>
          <w:rFonts w:ascii="함초롬바탕"/>
        </w:rPr>
        <w:commentReference w:id="5"/>
        <w:t>Shone &amp; Giddens 2021</w:t>
      </w:r>
      <w:commentRangeEnd w:id="5"/>
      <w:r>
        <w:rPr>
          <w:rFonts w:ascii="함초롬바탕"/>
        </w:rPr>
        <w:t>).</w:t>
      </w:r>
    </w:p>
    <w:p>
      <w:pPr>
        <w:pStyle w:val="3"/>
        <w:widowControl w:val="off"/>
      </w:pPr>
      <w:r>
        <w:rPr>
          <w:rFonts w:ascii="함초롬바탕" w:eastAsia="함초롬바탕"/>
        </w:rPr>
        <w:t xml:space="preserve">한편, </w:t>
      </w:r>
      <w:commentRangeStart w:id="6"/>
      <w:r>
        <w:rPr>
          <w:rFonts w:ascii="함초롬바탕"/>
        </w:rPr>
        <w:commentReference w:id="6"/>
        <w:t>Loidd et al.(2005)</w:t>
      </w:r>
      <w:commentRangeEnd w:id="6"/>
      <w:r>
        <w:rPr>
          <w:rFonts w:ascii="함초롬바탕" w:eastAsia="함초롬바탕"/>
        </w:rPr>
        <w:t>은 중국에서 한류가 시작된 1990년대 후반 문화적 자부심이 강한 중국에서 다른 나라의 문화가 선호되는 것은 의외적인 사건이었다. 사실 이 시기 한류를 받아들인 중국보다 한류의 근원지인 한국은 오히려 더욱 의아해하는 입장이었다고 할 수 있을 것이다.</w:t>
      </w:r>
    </w:p>
    <w:p>
      <w:pPr>
        <w:pStyle w:val="5"/>
        <w:widowControl w:val="off"/>
      </w:pPr>
      <w:r>
        <w:rPr/>
        <w:t>2.2 1,2차 한류 배경비교</w:t>
      </w:r>
    </w:p>
    <w:p>
      <w:pPr>
        <w:pStyle w:val="3"/>
        <w:widowControl w:val="off"/>
      </w:pPr>
      <w:r>
        <w:rPr>
          <w:rFonts w:ascii="함초롬바탕" w:eastAsia="함초롬바탕"/>
        </w:rPr>
        <w:t>조직의 지속가능성과 회복탄력성은 외부 이해관계자와의 관계에 의해서도 크게 영향을 받는다. 이에 따라 사회적 책임(CSR)과 이해관계자 전략은 기업 성과뿐만 아니라 회복탄력성 강화 측면에서도 중요한 변수로 작용하고 있다.</w:t>
      </w:r>
    </w:p>
    <w:p>
      <w:pPr>
        <w:pStyle w:val="6"/>
        <w:widowControl w:val="off"/>
      </w:pPr>
      <w:r>
        <w:rPr/>
        <w:t>2.2.1 초기 한류</w:t>
      </w:r>
    </w:p>
    <w:p>
      <w:pPr>
        <w:pStyle w:val="3"/>
        <w:widowControl w:val="off"/>
        <w:rPr>
          <w:rFonts w:ascii="함초롬바탕" w:eastAsia="함초롬바탕"/>
          <w:color w:val="000000"/>
        </w:rPr>
      </w:pPr>
    </w:p>
    <w:p>
      <w:pPr>
        <w:pStyle w:val="0"/>
        <w:widowControl w:val="off"/>
        <w:ind w:firstLine="200"/>
      </w:pPr>
      <w:r>
        <w:rPr>
          <w:rFonts w:ascii="함초롬바탕" w:eastAsia="함초롬바탕"/>
          <w:w w:val="95"/>
        </w:rPr>
        <w:t>현대 영화산업은 막대한 이익을 창출하는 만큼 많은 자본이 집중되고 있다. 적벽대전과 같이 여러 경로의 자본이 대규모로 집중될 경우 제작자는 실험적이 되기 보다는 안전성에 집착하게 된다. 결과적으로 적벽대전은 안전성에 염두를 두고 흥행이 보장된 배우와 시각효과에만 집중하다가 영화를 소비하는 관객의 궁극적인 수요인 극적인 감동과 반전을 제공하는데 실패하였다.</w:t>
      </w:r>
    </w:p>
    <w:p>
      <w:pPr>
        <w:pStyle w:val="3"/>
        <w:widowControl w:val="off"/>
        <w:rPr>
          <w:rFonts w:ascii="함초롬바탕" w:eastAsia="함초롬바탕"/>
          <w:color w:val="000000"/>
        </w:rPr>
      </w:pPr>
    </w:p>
    <w:p>
      <w:pPr>
        <w:pStyle w:val="2"/>
        <w:widowControl w:val="off"/>
      </w:pPr>
      <w:r>
        <w:rPr/>
        <w:t xml:space="preserve">[그림 </w:t>
      </w:r>
      <w:fldSimple w:instr="SEQ 그림 %d \* ARABIC">
        <w:r>
          <w:t>2</w:t>
        </w:r>
      </w:fldSimple>
      <w:r>
        <w:rPr/>
        <w:t xml:space="preserve">] 개념적 프레임워크 </w:t>
      </w:r>
    </w:p>
    <w:p>
      <w:pPr>
        <w:pStyle w:val="3"/>
        <w:widowControl w:val="off"/>
        <w:wordWrap w:val="1"/>
        <w:jc w:val="center"/>
      </w:pPr>
      <w:r>
        <w:drawing>
          <wp:anchor distT="0" distB="0" distL="0" distR="0" simplePos="0" relativeHeight="12" behindDoc="0" locked="0" layoutInCell="1" allowOverlap="1">
            <wp:simplePos x="0" y="0"/>
            <wp:positionH relativeFrom="column">
              <wp:posOffset>462661</wp:posOffset>
            </wp:positionH>
            <wp:positionV relativeFrom="paragraph">
              <wp:posOffset>0</wp:posOffset>
            </wp:positionV>
            <wp:extent cx="4114800" cy="1325880"/>
            <wp:effectExtent l="0" t="0" r="0" b="0"/>
            <wp:wrapTopAndBottom/>
            <wp:docPr id="3" name="그림 %d 3"/>
            <wp:cNvGraphicFramePr/>
            <a:graphic>
              <a:graphicData uri="http://schemas.openxmlformats.org/drawingml/2006/picture">
                <pic:pic>
                  <pic:nvPicPr>
                    <pic:cNvPr id="0" name="C:\Users\user\AppData\Local\Temp\Hnc\BinData\EMB000059c8436f.png"/>
                    <pic:cNvPicPr/>
                  </pic:nvPicPr>
                  <pic:blipFill>
                    <a:blip r:embed="rId6"/>
                    <a:stretch>
                      <a:fillRect/>
                    </a:stretch>
                  </pic:blipFill>
                  <pic:spPr>
                    <a:xfrm>
                      <a:off x="0" y="0"/>
                      <a:ext cx="4114800" cy="1325880"/>
                    </a:xfrm>
                    <a:prstGeom prst="rect">
                      <a:avLst/>
                    </a:prstGeom>
                    <a:effectLst/>
                  </pic:spPr>
                </pic:pic>
              </a:graphicData>
            </a:graphic>
          </wp:anchor>
        </w:drawing>
      </w:r>
    </w:p>
    <w:p>
      <w:pPr>
        <w:pStyle w:val="3"/>
        <w:widowControl w:val="off"/>
      </w:pPr>
      <w:r>
        <w:rPr>
          <w:rFonts w:ascii="함초롬바탕" w:eastAsia="함초롬바탕"/>
        </w:rPr>
        <w:t xml:space="preserve">[그림 1]은 본 연구에서 설정한 개념적 틀을 설명하기 위한 예시 그림으로 ... </w:t>
      </w:r>
    </w:p>
    <w:p>
      <w:pPr>
        <w:pStyle w:val="3"/>
        <w:widowControl w:val="off"/>
        <w:rPr/>
      </w:pPr>
    </w:p>
    <w:p>
      <w:pPr>
        <w:pStyle w:val="3"/>
        <w:widowControl w:val="off"/>
      </w:pPr>
      <w:r>
        <w:rPr/>
        <w:t>...</w:t>
      </w:r>
    </w:p>
    <w:p>
      <w:pPr>
        <w:pStyle w:val="4"/>
        <w:widowControl w:val="off"/>
        <w:rPr>
          <w:rFonts w:ascii="HY견명조" w:eastAsia="HY견명조"/>
          <w:color w:val="000000"/>
        </w:rPr>
      </w:pPr>
    </w:p>
    <w:p>
      <w:pPr>
        <w:pStyle w:val="4"/>
        <w:widowControl w:val="off"/>
      </w:pPr>
      <w:r>
        <w:rPr>
          <w:rFonts w:ascii="HY견명조" w:eastAsia="HY견명조"/>
        </w:rPr>
        <w:t>V. 결  론</w:t>
      </w:r>
    </w:p>
    <w:p>
      <w:pPr>
        <w:pStyle w:val="3"/>
        <w:widowControl w:val="off"/>
      </w:pPr>
      <w:r>
        <w:rPr>
          <w:rFonts w:ascii="함초롬바탕" w:eastAsia="함초롬바탕"/>
        </w:rPr>
        <w:t>본 연구는 한류의 지속 가능성에 대한 배경을 분석하였다. 결과적으로 본 연구는 지속가능한 한류발전을 위한 전략 설계에 이론적·실무적 시사점을 제공할 수 있을 것으로 기대된다.</w:t>
      </w:r>
    </w:p>
    <w:p>
      <w:pPr>
        <w:pStyle w:val="0"/>
        <w:widowControl w:val="off"/>
        <w:ind w:firstLine="200"/>
        <w:rPr/>
      </w:pPr>
    </w:p>
    <w:p>
      <w:pPr>
        <w:pStyle w:val="10"/>
        <w:widowControl w:val="off"/>
      </w:pPr>
      <w:commentRangeStart w:id="7"/>
      <w:r>
        <w:rPr/>
        <w:commentReference w:id="7"/>
        <w:t>“본 게재논문에 대한 윤리적 문제는 전적으로 저자에게 책임이 있음을 확인함”</w:t>
      </w:r>
      <w:commentRangeEnd w:id="7"/>
    </w:p>
    <w:p>
      <w:r>
        <w:br w:type="page"/>
      </w:r>
    </w:p>
    <w:p>
      <w:pPr>
        <w:pStyle w:val="22"/>
        <w:widowControl w:val="off"/>
      </w:pPr>
      <w:commentRangeStart w:id="8"/>
      <w:r>
        <w:rPr/>
        <w:commentReference w:id="8"/>
        <w:t>참 고 문 헌</w:t>
      </w:r>
      <w:commentRangeEnd w:id="8"/>
    </w:p>
    <w:p>
      <w:pPr>
        <w:pStyle w:val="23"/>
        <w:widowControl w:val="off"/>
      </w:pPr>
      <w:commentRangeStart w:id="9"/>
      <w:r>
        <w:rPr/>
        <w:commentReference w:id="9"/>
        <w:t>홍길동, 홍길순</w:t>
      </w:r>
      <w:commentRangeEnd w:id="9"/>
      <w:r>
        <w:rPr/>
        <w:t xml:space="preserve">. (2023). 기업 전략과 사회적 책임의 이론적 연결. </w:t>
      </w:r>
      <w:r>
        <w:rPr>
          <w:i/>
        </w:rPr>
        <w:t>문화경영연구</w:t>
      </w:r>
      <w:r>
        <w:rPr/>
        <w:t xml:space="preserve">, </w:t>
      </w:r>
      <w:r>
        <w:rPr>
          <w:i/>
        </w:rPr>
        <w:t>99</w:t>
      </w:r>
      <w:r>
        <w:rPr/>
        <w:t>(4), 91</w:t>
      </w:r>
      <w:r>
        <w:rPr/>
        <w:t>–</w:t>
      </w:r>
      <w:r>
        <w:rPr/>
        <w:t>110.</w:t>
      </w:r>
    </w:p>
    <w:p>
      <w:pPr>
        <w:pStyle w:val="23"/>
        <w:widowControl w:val="off"/>
      </w:pPr>
      <w:r>
        <w:rPr/>
        <w:t xml:space="preserve">최갑돌. (2022). </w:t>
      </w:r>
      <w:r>
        <w:rPr>
          <w:i/>
        </w:rPr>
        <w:t>공급망 구조 변화에 대한 탐색적 연구</w:t>
      </w:r>
      <w:r>
        <w:rPr/>
        <w:t xml:space="preserve"> (박사학위논문, 한국대학교).</w:t>
      </w:r>
    </w:p>
    <w:p>
      <w:pPr>
        <w:pStyle w:val="23"/>
        <w:widowControl w:val="off"/>
      </w:pPr>
      <w:commentRangeStart w:id="10"/>
      <w:r>
        <w:rPr/>
        <w:t xml:space="preserve">정을순. (2021). </w:t>
      </w:r>
      <w:r>
        <w:rPr>
          <w:i/>
        </w:rPr>
        <w:t>경영환경 변화와 조직 대응에 관한 이론적 접근.</w:t>
      </w:r>
      <w:r>
        <w:rPr/>
        <w:t xml:space="preserve"> 한국가상출판사.</w:t>
      </w:r>
    </w:p>
    <w:p>
      <w:pPr>
        <w:pStyle w:val="23"/>
        <w:widowControl w:val="off"/>
      </w:pPr>
      <w:commentRangeStart w:id="11"/>
      <w:r>
        <w:rPr/>
        <w:commentReference w:id="11"/>
        <w:t>Brown, J. M.</w:t>
      </w:r>
      <w:commentRangeEnd w:id="11"/>
      <w:r>
        <w:rPr/>
        <w:t xml:space="preserve">, Davis, L., &amp; Wilson, S. (2020). A review of stakeholder dynamics in modern enterprises. </w:t>
      </w:r>
      <w:r>
        <w:rPr>
          <w:i/>
        </w:rPr>
        <w:t>Imaginary Review of Sustainable Enterprise</w:t>
      </w:r>
      <w:r>
        <w:rPr/>
        <w:t xml:space="preserve">, </w:t>
      </w:r>
      <w:r>
        <w:rPr>
          <w:i/>
        </w:rPr>
        <w:t>15</w:t>
      </w:r>
      <w:r>
        <w:rPr/>
        <w:t>(2), 89</w:t>
      </w:r>
      <w:r>
        <w:rPr/>
        <w:t>–</w:t>
      </w:r>
      <w:r>
        <w:rPr/>
        <w:t xml:space="preserve">105. </w:t>
      </w:r>
      <w:hyperlink w:anchor="_top">
        <w:r>
          <w:rPr>
            <w:color w:val="800080"/>
          </w:rPr>
          <w:t>https://www.irse-example.org/articles/2020-stakeholders-review</w:t>
        </w:r>
      </w:hyperlink>
      <w:r>
        <w:commentReference w:id="10"/>
      </w:r>
      <w:commentRangeEnd w:id="10"/>
    </w:p>
    <w:p>
      <w:pPr>
        <w:pStyle w:val="23"/>
        <w:widowControl w:val="off"/>
      </w:pPr>
      <w:r>
        <w:rPr/>
        <w:t xml:space="preserve">Center for Hypothetical Policy Research. (2023). </w:t>
      </w:r>
      <w:r>
        <w:rPr>
          <w:i/>
        </w:rPr>
        <w:t>Next-generation innovation strategies for digital leadership</w:t>
      </w:r>
      <w:r>
        <w:rPr/>
        <w:t xml:space="preserve">. </w:t>
      </w:r>
      <w:hyperlink w:anchor="_top">
        <w:r>
          <w:rPr/>
          <w:t>https://www.chpr-example.org/reports/digital-leadership</w:t>
        </w:r>
      </w:hyperlink>
    </w:p>
    <w:p>
      <w:pPr>
        <w:pStyle w:val="23"/>
        <w:widowControl w:val="off"/>
      </w:pPr>
      <w:commentRangeStart w:id="12"/>
      <w:r>
        <w:rPr/>
        <w:commentReference w:id="12"/>
        <w:t>Smith, J. &amp; Nguyen, T.</w:t>
      </w:r>
      <w:commentRangeEnd w:id="12"/>
      <w:r>
        <w:rPr/>
        <w:t xml:space="preserve"> (2021). Theoretical approaches to organizational resilience. </w:t>
      </w:r>
      <w:r>
        <w:rPr>
          <w:i/>
        </w:rPr>
        <w:t>Journal of Fictional Organizational Studies</w:t>
      </w:r>
      <w:r>
        <w:rPr/>
        <w:t xml:space="preserve">, </w:t>
      </w:r>
      <w:r>
        <w:rPr>
          <w:i/>
        </w:rPr>
        <w:t>18</w:t>
      </w:r>
      <w:r>
        <w:rPr/>
        <w:t>(1), 45</w:t>
      </w:r>
      <w:r>
        <w:rPr/>
        <w:t>–</w:t>
      </w:r>
      <w:r>
        <w:rPr/>
        <w:t xml:space="preserve">62. </w:t>
      </w:r>
      <w:hyperlink w:anchor="_top">
        <w:r>
          <w:rPr/>
          <w:t>https://doi.org/10.0000/jfos.2021.0001</w:t>
        </w:r>
      </w:hyperlink>
    </w:p>
    <w:p>
      <w:pPr>
        <w:pStyle w:val="23"/>
        <w:widowControl w:val="off"/>
      </w:pPr>
      <w:commentRangeStart w:id="13"/>
      <w:r>
        <w:rPr/>
        <w:commentReference w:id="13"/>
        <w:t>Taylor, M., Johnson, R., &amp; Lee, A.</w:t>
      </w:r>
      <w:commentRangeEnd w:id="13"/>
      <w:r>
        <w:rPr/>
        <w:t xml:space="preserve"> (2022). Conceptual perspectives on innovation and digital transformation. </w:t>
      </w:r>
      <w:r>
        <w:rPr>
          <w:i/>
        </w:rPr>
        <w:t>Fictional Journal of Applied Business Technologies</w:t>
      </w:r>
      <w:r>
        <w:rPr/>
        <w:t xml:space="preserve">, </w:t>
      </w:r>
      <w:r>
        <w:rPr>
          <w:i/>
        </w:rPr>
        <w:t>29</w:t>
      </w:r>
      <w:r>
        <w:rPr/>
        <w:t>(3), 115</w:t>
      </w:r>
      <w:r>
        <w:rPr/>
        <w:t>–</w:t>
      </w:r>
      <w:r>
        <w:rPr/>
        <w:t xml:space="preserve">130. </w:t>
      </w:r>
      <w:hyperlink w:anchor="_top">
        <w:r>
          <w:rPr/>
          <w:t>https://doi.org/10.0000/fjabt.2022.9999</w:t>
        </w:r>
      </w:hyperlink>
    </w:p>
    <w:p>
      <w:pPr>
        <w:pStyle w:val="23"/>
        <w:widowControl w:val="off"/>
        <w:rPr/>
        <w:sectPr>
          <w:headerReference r:id="rId1" w:type="default"/>
          <w:headerReference r:id="rId2" w:type="even"/>
          <w:headerReference r:id="rId5" w:type="default"/>
          <w:footnotePr>
            <w:numFmt w:val="lowerRoman"/>
            <w:numRestart w:val="continuous"/>
          </w:footnotePr>
          <w:endnotePr>
            <w:pos w:val="docEnd"/>
            <w:numFmt w:val="decimal"/>
            <w:numRestart w:val="continuous"/>
          </w:endnotePr>
          <w:pgSz w:w="11906" w:h="16838"/>
          <w:pgMar w:top="2976" w:right="1984" w:bottom="2806" w:left="1984" w:header="2239" w:footer="2239" w:gutter="0"/>
          <w:cols w:space="0"/>
          <w:type w:val="continuous"/>
        </w:sectPr>
      </w:pPr>
    </w:p>
    <w:p>
      <w:pPr>
        <w:pStyle w:val="17"/>
        <w:widowControl w:val="off"/>
      </w:pPr>
      <w:r>
        <w:rPr/>
        <w:t xml:space="preserve">Analysis of the Background of the Spread of the Korean Wave in China during the 1970s </w:t>
      </w:r>
    </w:p>
    <w:p>
      <w:pPr>
        <w:pStyle w:val="24"/>
        <w:widowControl w:val="off"/>
      </w:pPr>
      <w:commentRangeStart w:id="0"/>
      <w:r>
        <w:rPr>
          <w:rFonts w:ascii="HY신명조"/>
        </w:rPr>
        <w:t>Shin, Kyungwhan</w:t>
      </w:r>
      <w:r>
        <w:rPr>
          <w:vertAlign w:val="superscript"/>
        </w:rPr>
        <w:footnoteReference w:id="6"/>
      </w:r>
      <w:r>
        <w:rPr>
          <w:rFonts w:ascii="HY신명조"/>
        </w:rPr>
        <w:t xml:space="preserve"> Oh, Minjung</w:t>
      </w:r>
      <w:r>
        <w:rPr>
          <w:vertAlign w:val="superscript"/>
        </w:rPr>
        <w:footnoteReference w:id="7"/>
      </w:r>
      <w:r>
        <w:rPr>
          <w:rFonts w:ascii="HY신명조"/>
        </w:rPr>
        <w:commentReference w:id="0"/>
        <w:t xml:space="preserve"> </w:t>
      </w:r>
      <w:commentRangeEnd w:id="0"/>
    </w:p>
    <w:tbl>
      <w:tblPr>
        <w:tblOverlap w:val="never"/>
        <w:tblW w:w="7937"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28" w:type="dxa"/>
        </w:tblCellMar>
      </w:tblPr>
      <w:tblGrid>
        <w:gridCol w:w="226"/>
        <w:gridCol w:w="2287"/>
        <w:gridCol w:w="906"/>
        <w:gridCol w:w="1155"/>
        <w:gridCol w:w="679"/>
        <w:gridCol w:w="2457"/>
        <w:gridCol w:w="226"/>
      </w:tblGrid>
      <w:tr>
        <w:trPr>
          <w:trHeight w:val="56"/>
        </w:trPr>
        <w:tc>
          <w:tcPr>
            <w:tcW w:w="3419" w:type="dxa"/>
            <w:gridSpan w:val="3"/>
            <w:tcBorders>
              <w:top w:val="none" w:color="000000" w:sz="3"/>
              <w:left w:val="none" w:color="000000" w:sz="3"/>
              <w:bottom w:val="single" w:color="000000" w:sz="3"/>
              <w:right w:val="none" w:color="000000" w:sz="3"/>
            </w:tcBorders>
            <w:vAlign w:val="center"/>
          </w:tcPr>
          <w:p>
            <w:pPr>
              <w:pStyle w:val="0"/>
              <w:widowControl w:val="off"/>
              <w:rPr>
                <w:color w:val="000000"/>
                <w:sz w:val="12"/>
                <w:shd w:val="clear" w:color="000000"/>
              </w:rPr>
            </w:pPr>
          </w:p>
        </w:tc>
        <w:tc>
          <w:tcPr>
            <w:tcW w:w="1155" w:type="dxa"/>
            <w:vMerge w:val="restart"/>
            <w:tcBorders>
              <w:top w:val="none" w:color="000000" w:sz="3"/>
              <w:left w:val="none" w:color="000000" w:sz="3"/>
              <w:bottom w:val="none" w:color="000000" w:sz="3"/>
              <w:right w:val="none" w:color="000000" w:sz="3"/>
            </w:tcBorders>
            <w:vAlign w:val="center"/>
          </w:tcPr>
          <w:p>
            <w:pPr>
              <w:pStyle w:val="19"/>
              <w:widowControl w:val="off"/>
            </w:pPr>
            <w:r>
              <w:rPr/>
              <w:t>&lt;</w:t>
            </w:r>
            <w:commentRangeStart w:id="1"/>
            <w:r>
              <w:rPr/>
              <w:commentReference w:id="1"/>
              <w:t>Abstract</w:t>
            </w:r>
            <w:commentRangeEnd w:id="1"/>
            <w:r>
              <w:rPr/>
              <w:t>&gt;</w:t>
            </w:r>
          </w:p>
        </w:tc>
        <w:tc>
          <w:tcPr>
            <w:tcW w:w="3363" w:type="dxa"/>
            <w:gridSpan w:val="3"/>
            <w:tcBorders>
              <w:top w:val="none" w:color="000000" w:sz="3"/>
              <w:left w:val="none" w:color="000000" w:sz="3"/>
              <w:bottom w:val="single" w:color="000000" w:sz="3"/>
              <w:right w:val="none" w:color="000000" w:sz="3"/>
            </w:tcBorders>
            <w:vAlign w:val="center"/>
          </w:tcPr>
          <w:p>
            <w:pPr>
              <w:pStyle w:val="0"/>
              <w:widowControl w:val="off"/>
              <w:rPr>
                <w:color w:val="000000"/>
                <w:sz w:val="12"/>
                <w:shd w:val="clear" w:color="000000"/>
              </w:rPr>
            </w:pPr>
          </w:p>
        </w:tc>
      </w:tr>
      <w:tr>
        <w:trPr>
          <w:trHeight w:val="56"/>
        </w:trPr>
        <w:tc>
          <w:tcPr>
            <w:tcW w:w="3419" w:type="dxa"/>
            <w:gridSpan w:val="3"/>
            <w:tcBorders>
              <w:top w:val="single" w:color="000000" w:sz="3"/>
              <w:left w:val="single" w:color="000000" w:sz="3"/>
              <w:bottom w:val="none" w:color="000000" w:sz="3"/>
              <w:right w:val="none" w:color="000000" w:sz="3"/>
            </w:tcBorders>
            <w:vAlign w:val="center"/>
          </w:tcPr>
          <w:p>
            <w:pPr>
              <w:pStyle w:val="0"/>
              <w:widowControl w:val="off"/>
              <w:rPr>
                <w:color w:val="000000"/>
                <w:sz w:val="12"/>
                <w:shd w:val="clear" w:color="000000"/>
              </w:rPr>
            </w:pPr>
          </w:p>
        </w:tc>
        <w:tc>
          <w:tcPr>
            <w:tcW w:w="1155" w:type="dxa"/>
            <w:vMerge/>
            <w:tcBorders>
              <w:top w:val="none" w:color="000000" w:sz="3"/>
              <w:left w:val="none" w:color="000000" w:sz="3"/>
              <w:bottom w:val="none" w:color="000000" w:sz="3"/>
              <w:right w:val="none" w:color="000000" w:sz="3"/>
            </w:tcBorders>
          </w:tcPr>
          <w:p/>
        </w:tc>
        <w:tc>
          <w:tcPr>
            <w:tcW w:w="3363" w:type="dxa"/>
            <w:gridSpan w:val="3"/>
            <w:tcBorders>
              <w:top w:val="single" w:color="000000" w:sz="3"/>
              <w:left w:val="none" w:color="000000" w:sz="3"/>
              <w:bottom w:val="none" w:color="000000" w:sz="3"/>
              <w:right w:val="single" w:color="000000" w:sz="3"/>
            </w:tcBorders>
            <w:vAlign w:val="center"/>
          </w:tcPr>
          <w:p>
            <w:pPr>
              <w:pStyle w:val="0"/>
              <w:widowControl w:val="off"/>
              <w:rPr>
                <w:color w:val="000000"/>
                <w:sz w:val="12"/>
                <w:shd w:val="clear" w:color="000000"/>
              </w:rPr>
            </w:pPr>
          </w:p>
        </w:tc>
      </w:tr>
      <w:tr>
        <w:trPr>
          <w:trHeight w:val="56"/>
        </w:trPr>
        <w:tc>
          <w:tcPr>
            <w:tcW w:w="226" w:type="dxa"/>
            <w:tcBorders>
              <w:top w:val="none" w:color="000000" w:sz="3"/>
              <w:left w:val="single" w:color="000000" w:sz="3"/>
              <w:bottom w:val="none" w:color="000000" w:sz="3"/>
              <w:right w:val="none" w:color="000000" w:sz="3"/>
            </w:tcBorders>
            <w:vAlign w:val="center"/>
          </w:tcPr>
          <w:p>
            <w:pPr>
              <w:pStyle w:val="0"/>
              <w:widowControl w:val="off"/>
              <w:rPr/>
            </w:pPr>
          </w:p>
        </w:tc>
        <w:tc>
          <w:tcPr>
            <w:tcW w:w="7485" w:type="dxa"/>
            <w:gridSpan w:val="5"/>
            <w:vMerge w:val="restart"/>
            <w:tcBorders>
              <w:top w:val="none" w:color="000000" w:sz="3"/>
              <w:left w:val="none" w:color="000000" w:sz="3"/>
              <w:bottom w:val="none" w:color="000000" w:sz="3"/>
              <w:right w:val="none" w:color="000000" w:sz="3"/>
            </w:tcBorders>
            <w:vAlign w:val="center"/>
          </w:tcPr>
          <w:p>
            <w:pPr>
              <w:pStyle w:val="0"/>
              <w:widowControl w:val="off"/>
              <w:spacing w:line="324" w:lineRule="auto"/>
              <w:ind w:firstLine="138"/>
            </w:pPr>
            <w:r>
              <w:rPr>
                <w:rFonts w:ascii="함초롬바탕"/>
                <w:sz w:val="18"/>
              </w:rPr>
              <w:t xml:space="preserve"> Currently Hallyu is welcomed not only in Asia but also Europe and the United States. In particular, although these countries, such as Middle East and North Africa, have very different cultural backgrounds from Korea, Hallyu shows very successful performance there. However, success of Hallyu should not be considered as an excellence in Korean ethnic and cultural superiority. This idea is not only incorrect but also very dangerous. The Hallyu was ironically started from the success of very ordinary product of popular culture industry in the neighboring countries such as China and Japan.  North Korean films from 1960s to 1970s earned huge popularity in China while there were no such exchanges between South Korea and China. It proves the cultural contents which were produced by Korean peninsula gained popularity at different times in the People's Republic of China. It suggests there are historical and environmental impacts on the success of Hallyu, </w:t>
            </w:r>
          </w:p>
        </w:tc>
        <w:tc>
          <w:tcPr>
            <w:tcW w:w="226" w:type="dxa"/>
            <w:tcBorders>
              <w:top w:val="none" w:color="000000" w:sz="3"/>
              <w:left w:val="none" w:color="000000" w:sz="3"/>
              <w:bottom w:val="none" w:color="000000" w:sz="3"/>
              <w:right w:val="single" w:color="000000" w:sz="3"/>
            </w:tcBorders>
            <w:vAlign w:val="center"/>
          </w:tcPr>
          <w:p>
            <w:pPr>
              <w:pStyle w:val="0"/>
              <w:widowControl w:val="off"/>
              <w:spacing w:line="280" w:lineRule="auto"/>
              <w:ind w:firstLine="138"/>
              <w:rPr>
                <w:color w:val="000000"/>
                <w:sz w:val="18"/>
              </w:rPr>
            </w:pPr>
          </w:p>
        </w:tc>
      </w:tr>
      <w:tr>
        <w:trPr>
          <w:trHeight w:val="56"/>
        </w:trPr>
        <w:tc>
          <w:tcPr>
            <w:tcW w:w="226" w:type="dxa"/>
            <w:tcBorders>
              <w:top w:val="none" w:color="000000" w:sz="3"/>
              <w:left w:val="single" w:color="000000" w:sz="3"/>
              <w:bottom w:val="none" w:color="000000" w:sz="3"/>
              <w:right w:val="none" w:color="000000" w:sz="3"/>
            </w:tcBorders>
            <w:vAlign w:val="center"/>
          </w:tcPr>
          <w:p>
            <w:pPr>
              <w:pStyle w:val="0"/>
              <w:widowControl w:val="off"/>
              <w:rPr/>
            </w:pPr>
          </w:p>
        </w:tc>
        <w:tc>
          <w:tcPr>
            <w:tcW w:w="7485" w:type="dxa"/>
            <w:gridSpan w:val="5"/>
            <w:vMerge/>
            <w:tcBorders>
              <w:top w:val="none" w:color="000000" w:sz="3"/>
              <w:left w:val="none" w:color="000000" w:sz="3"/>
              <w:bottom w:val="none" w:color="000000" w:sz="3"/>
              <w:right w:val="none" w:color="000000" w:sz="3"/>
            </w:tcBorders>
          </w:tcPr>
          <w:p/>
        </w:tc>
        <w:tc>
          <w:tcPr>
            <w:tcW w:w="226" w:type="dxa"/>
            <w:tcBorders>
              <w:top w:val="none" w:color="000000" w:sz="3"/>
              <w:left w:val="none" w:color="000000" w:sz="3"/>
              <w:bottom w:val="none" w:color="000000" w:sz="3"/>
              <w:right w:val="single" w:color="000000" w:sz="3"/>
            </w:tcBorders>
            <w:vAlign w:val="center"/>
          </w:tcPr>
          <w:p>
            <w:pPr>
              <w:pStyle w:val="0"/>
              <w:widowControl w:val="off"/>
              <w:spacing w:line="280" w:lineRule="auto"/>
              <w:ind w:firstLine="138"/>
              <w:rPr>
                <w:color w:val="000000"/>
                <w:sz w:val="18"/>
              </w:rPr>
            </w:pPr>
          </w:p>
        </w:tc>
      </w:tr>
      <w:tr>
        <w:trPr>
          <w:trHeight w:val="56"/>
        </w:trPr>
        <w:tc>
          <w:tcPr>
            <w:tcW w:w="2514" w:type="dxa"/>
            <w:gridSpan w:val="2"/>
            <w:tcBorders>
              <w:top w:val="none" w:color="000000" w:sz="3"/>
              <w:left w:val="single" w:color="000000" w:sz="3"/>
              <w:bottom w:val="single" w:color="000000" w:sz="3"/>
              <w:right w:val="none" w:color="000000" w:sz="3"/>
            </w:tcBorders>
            <w:vAlign w:val="center"/>
          </w:tcPr>
          <w:p>
            <w:pPr>
              <w:pStyle w:val="0"/>
              <w:widowControl w:val="off"/>
              <w:rPr>
                <w:color w:val="000000"/>
                <w:sz w:val="12"/>
                <w:shd w:val="clear" w:color="000000"/>
              </w:rPr>
            </w:pPr>
          </w:p>
        </w:tc>
        <w:tc>
          <w:tcPr>
            <w:tcW w:w="2740" w:type="dxa"/>
            <w:gridSpan w:val="3"/>
            <w:tcBorders>
              <w:top w:val="none" w:color="000000" w:sz="3"/>
              <w:left w:val="none" w:color="000000" w:sz="3"/>
              <w:bottom w:val="single" w:color="000000" w:sz="3"/>
              <w:right w:val="none" w:color="000000" w:sz="3"/>
            </w:tcBorders>
            <w:vAlign w:val="center"/>
          </w:tcPr>
          <w:p>
            <w:pPr>
              <w:pStyle w:val="0"/>
              <w:widowControl w:val="off"/>
              <w:spacing w:line="280" w:lineRule="auto"/>
              <w:ind w:firstLine="138"/>
              <w:rPr>
                <w:color w:val="000000"/>
                <w:sz w:val="18"/>
              </w:rPr>
            </w:pPr>
          </w:p>
        </w:tc>
        <w:tc>
          <w:tcPr>
            <w:tcW w:w="2683" w:type="dxa"/>
            <w:gridSpan w:val="2"/>
            <w:tcBorders>
              <w:top w:val="none" w:color="000000" w:sz="3"/>
              <w:left w:val="none" w:color="000000" w:sz="3"/>
              <w:bottom w:val="single" w:color="000000" w:sz="3"/>
              <w:right w:val="single" w:color="000000" w:sz="3"/>
            </w:tcBorders>
            <w:vAlign w:val="center"/>
          </w:tcPr>
          <w:p>
            <w:pPr>
              <w:pStyle w:val="0"/>
              <w:widowControl w:val="off"/>
              <w:spacing w:line="280" w:lineRule="auto"/>
              <w:ind w:firstLine="138"/>
              <w:rPr>
                <w:color w:val="000000"/>
                <w:sz w:val="18"/>
              </w:rPr>
            </w:pPr>
          </w:p>
        </w:tc>
      </w:tr>
    </w:tbl>
    <w:p>
      <w:pPr>
        <w:pStyle w:val="10"/>
        <w:widowControl w:val="off"/>
      </w:pPr>
    </w:p>
    <w:p>
      <w:pPr>
        <w:pStyle w:val="21"/>
        <w:widowControl w:val="off"/>
      </w:pPr>
      <w:r>
        <w:rPr>
          <w:rFonts w:ascii="함초롬바탕"/>
        </w:rPr>
        <w:t xml:space="preserve">Keywords : </w:t>
      </w:r>
      <w:r>
        <w:rPr>
          <w:rFonts w:ascii="함초롬바탕"/>
        </w:rPr>
        <w:t>First Hallyu, Second Hallyu, Culture of Korean peninsular,  Korean film</w:t>
      </w:r>
      <w:r>
        <w:rPr>
          <w:rFonts w:ascii="함초롬바탕"/>
        </w:rPr>
        <w:t xml:space="preserve"> </w:t>
      </w:r>
    </w:p>
    <w:sectPr>
      <w:footnotePr>
        <w:numFmt w:val="lowerRoman"/>
        <w:numRestart w:val="continuous"/>
      </w:footnotePr>
      <w:endnotePr>
        <w:pos w:val="docEnd"/>
        <w:numFmt w:val="decimal"/>
        <w:numRestart w:val="continuous"/>
      </w:endnotePr>
      <w:pgSz w:w="11906" w:h="16838"/>
      <w:pgMar w:top="2976" w:right="1984" w:bottom="2806" w:left="1984" w:header="2239" w:footer="2239" w:gutter="0"/>
      <w:cols w:space="0"/>
      <w:type w:val="continuous"/>
    </w:sectPr>
  </w:body>
</w:document>
</file>

<file path=word/comments.xml><?xml version="1.0" encoding="utf-8"?>
<w:comment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comment w:id="0" w:author="samantha" w:date="2025-05-24T11:49:02">
    <w:p>
      <w:pPr>
        <w:pStyle w:val="0"/>
        <w:widowControl w:val="off"/>
      </w:pPr>
      <w:r>
        <w:rPr/>
        <w:t>본 투고양식 파일의 예시 논문은 오로지 작성 양식 설명만을 위해 ChatGPT를 사용하여 만들어진 허구의 창작물로, 어떠한 학술적 근거를 포함하지 않으며, 작성 방법 형태를 예시로 설명하기 위한 의도만을 가짐.</w:t>
      </w:r>
    </w:p>
  </w:comment>
  <w:comment w:id="1" w:author="samantha" w:date="2025-05-24T01:03:18">
    <w:p>
      <w:pPr>
        <w:pStyle w:val="0"/>
        <w:widowControl w:val="off"/>
      </w:pPr>
      <w:r>
        <w:rPr/>
        <w:t>[원고작성 지침]  4. 저자정보의 소속 표기 방법을 참고하여 작성</w:t>
      </w:r>
    </w:p>
    <w:p>
      <w:pPr>
        <w:pStyle w:val="0"/>
        <w:widowControl w:val="off"/>
        <w:rPr/>
      </w:pPr>
    </w:p>
  </w:comment>
  <w:comment w:id="2" w:author="samantha" w:date="2025-05-24T12:05:11">
    <w:p>
      <w:pPr>
        <w:pStyle w:val="0"/>
        <w:widowControl w:val="off"/>
      </w:pPr>
      <w:r>
        <w:rPr>
          <w:rFonts w:ascii="한양신명조" w:eastAsia="한양신명조"/>
          <w:sz w:val="18"/>
        </w:rPr>
        <w:t>초록(400단어 이내)</w:t>
      </w:r>
    </w:p>
    <w:p>
      <w:pPr>
        <w:pStyle w:val="0"/>
        <w:widowControl w:val="off"/>
      </w:pPr>
      <w:r>
        <w:rPr>
          <w:rFonts w:ascii="한양신명조" w:eastAsia="한양신명조"/>
          <w:sz w:val="18"/>
        </w:rPr>
        <w:t>Keywords는 3~5개로 작성. 본문이 외국어인 경우는</w:t>
      </w:r>
      <w:r>
        <w:rPr>
          <w:sz w:val="18"/>
        </w:rPr>
        <w:t xml:space="preserve"> </w:t>
      </w:r>
      <w:r>
        <w:rPr>
          <w:rFonts w:ascii="한양신명조" w:eastAsia="한양신명조"/>
          <w:sz w:val="18"/>
        </w:rPr>
        <w:t>600단어 내외의 영문초록으로 기재</w:t>
      </w:r>
    </w:p>
  </w:comment>
  <w:comment w:id="3" w:author="samantha" w:date="2025-05-24T11:40:16">
    <w:p>
      <w:pPr>
        <w:pStyle w:val="0"/>
        <w:widowControl w:val="off"/>
      </w:pPr>
      <w:r>
        <w:rPr/>
        <w:t>국문 인용 3인 이상 저자: 1저자 외</w:t>
      </w:r>
    </w:p>
  </w:comment>
  <w:comment w:id="4" w:author="samantha" w:date="2025-05-24T11:40:46">
    <w:p>
      <w:pPr>
        <w:pStyle w:val="0"/>
        <w:widowControl w:val="off"/>
      </w:pPr>
      <w:r>
        <w:rPr/>
        <w:t>영문 인용 2인 저자: 문장형의 경우 and로 연결</w:t>
      </w:r>
    </w:p>
  </w:comment>
  <w:comment w:id="5" w:author="samantha" w:date="2025-05-24T11:43:57">
    <w:p>
      <w:pPr>
        <w:pStyle w:val="0"/>
        <w:widowControl w:val="off"/>
      </w:pPr>
      <w:r>
        <w:rPr/>
        <w:t xml:space="preserve">영문 인용 2인 저자: 괄호형의 경우 &amp;로 연결 </w:t>
      </w:r>
    </w:p>
  </w:comment>
  <w:comment w:id="6" w:author="samantha" w:date="2025-05-24T11:41:21">
    <w:p>
      <w:pPr>
        <w:pStyle w:val="0"/>
        <w:widowControl w:val="off"/>
      </w:pPr>
      <w:r>
        <w:rPr/>
        <w:t>영문 인용 3인 이상 저자: 1저자 et al.</w:t>
      </w:r>
    </w:p>
  </w:comment>
  <w:comment w:id="7" w:author="samantha" w:date="2025-05-24T11:26:11">
    <w:p>
      <w:pPr>
        <w:pStyle w:val="0"/>
        <w:widowControl w:val="off"/>
      </w:pPr>
      <w:r>
        <w:rPr/>
        <w:t>논문 본문 가장 마지막에 삽입</w:t>
      </w:r>
    </w:p>
  </w:comment>
  <w:comment w:id="8" w:author="samantha" w:date="2025-05-24T09:58:26">
    <w:p>
      <w:pPr>
        <w:pStyle w:val="0"/>
        <w:widowControl w:val="off"/>
      </w:pPr>
      <w:r>
        <w:rPr/>
        <w:t>작성 목록은 오로지 작성 방법을 위한 예시를 들기 위해 만들어낸 허구의 내용으로, 가상의 인물, 발행물, 기관 등의 이름을 설정한 것이며 실존하는 내용이 아님.</w:t>
      </w:r>
    </w:p>
    <w:p>
      <w:pPr>
        <w:pStyle w:val="3"/>
        <w:widowControl w:val="off"/>
        <w:rPr/>
      </w:pPr>
    </w:p>
    <w:p>
      <w:pPr>
        <w:pStyle w:val="0"/>
        <w:widowControl w:val="off"/>
      </w:pPr>
      <w:r>
        <w:rPr>
          <w:b/>
        </w:rPr>
        <w:t>자세한 표기는 [원고작성 지침] 6. 참고문헌 작성의 내용을 참고하여 작성</w:t>
      </w:r>
    </w:p>
  </w:comment>
  <w:comment w:id="9" w:author="samantha" w:date="2025-05-24T10:08:54">
    <w:p>
      <w:pPr>
        <w:pStyle w:val="0"/>
        <w:widowControl w:val="off"/>
      </w:pPr>
      <w:r>
        <w:rPr/>
        <w:t>국문 저자 2인이상: 모든 저자 쉼표로 연결</w:t>
      </w:r>
    </w:p>
  </w:comment>
  <w:comment w:id="10" w:author="samantha" w:date="2025-05-24T10:20:45">
    <w:p>
      <w:pPr>
        <w:pStyle w:val="0"/>
        <w:widowControl w:val="off"/>
      </w:pPr>
      <w:r>
        <w:rPr/>
        <w:t xml:space="preserve">모든 참고문헌에 대하여, 정기 간행물(journals, magazines, newspapers)의 경우 </w:t>
      </w:r>
      <w:r>
        <w:rPr>
          <w:i/>
        </w:rPr>
        <w:t>간행물명</w:t>
      </w:r>
      <w:r>
        <w:rPr/>
        <w:t xml:space="preserve">과 </w:t>
      </w:r>
      <w:r>
        <w:rPr>
          <w:i/>
        </w:rPr>
        <w:t>권(volume) 번호</w:t>
      </w:r>
      <w:r>
        <w:rPr/>
        <w:t>만 이탤릭체로 작성하며, 논문 제목은 일반체로 쓴다.</w:t>
      </w:r>
    </w:p>
    <w:p>
      <w:pPr>
        <w:pStyle w:val="0"/>
        <w:widowControl w:val="off"/>
      </w:pPr>
      <w:r>
        <w:br/>
        <w:rPr/>
        <w:t xml:space="preserve">반면, 독립적인 출처로 간주되는 자료(단행본, 보고서, 학위논문, 웹페이지 등)는 </w:t>
      </w:r>
      <w:r>
        <w:rPr>
          <w:i/>
        </w:rPr>
        <w:t>제목</w:t>
      </w:r>
      <w:r>
        <w:rPr/>
        <w:t xml:space="preserve"> 자체만을 이탤릭체로 작성한다.</w:t>
      </w:r>
    </w:p>
  </w:comment>
  <w:comment w:id="11" w:author="samantha" w:date="2025-05-24T10:11:12">
    <w:p>
      <w:pPr>
        <w:pStyle w:val="0"/>
        <w:widowControl w:val="off"/>
      </w:pPr>
      <w:r>
        <w:rPr/>
        <w:t>영문 저자명 표기: Last name, (Middle name initial.) First name Initial.</w:t>
      </w:r>
    </w:p>
  </w:comment>
  <w:comment w:id="12" w:author="samantha" w:date="2025-05-24T10:13:29">
    <w:p>
      <w:pPr>
        <w:pStyle w:val="0"/>
        <w:widowControl w:val="off"/>
      </w:pPr>
      <w:r>
        <w:rPr/>
        <w:t>영문 저자 2인: &amp;로 연결</w:t>
      </w:r>
    </w:p>
  </w:comment>
  <w:comment w:id="13" w:author="samantha" w:date="2025-05-24T10:14:33">
    <w:p>
      <w:pPr>
        <w:pStyle w:val="0"/>
        <w:widowControl w:val="off"/>
      </w:pPr>
      <w:r>
        <w:rPr/>
        <w:t>영문 저자 3인: 모든 저자 쉼표로 연결 + 마지막 저자 &amp;로 연결</w:t>
      </w:r>
    </w:p>
  </w:comment>
  <w:comment w:id="0" w:author="samantha" w:date="2025-05-24T10:24:01">
    <w:p>
      <w:pPr>
        <w:pStyle w:val="0"/>
        <w:widowControl w:val="off"/>
      </w:pPr>
      <w:r>
        <w:rPr/>
        <w:t>[원고작성 지침] 4. 저자정보의 소속 표기 방법을 참고하여 작성</w:t>
      </w:r>
    </w:p>
    <w:p>
      <w:pPr>
        <w:pStyle w:val="0"/>
        <w:widowControl w:val="off"/>
        <w:rPr/>
      </w:pPr>
    </w:p>
  </w:comment>
  <w:comment w:id="1" w:author="owner" w:date="2020-02-22T02:09:04">
    <w:p>
      <w:pPr>
        <w:pStyle w:val="0"/>
        <w:widowControl w:val="off"/>
      </w:pPr>
      <w:r>
        <w:rPr>
          <w:rFonts w:ascii="한양신명조" w:eastAsia="한양신명조"/>
          <w:sz w:val="18"/>
        </w:rPr>
        <w:t>영문초록(600단어 이내)</w:t>
      </w:r>
    </w:p>
    <w:p>
      <w:pPr>
        <w:pStyle w:val="0"/>
        <w:widowControl w:val="off"/>
      </w:pPr>
      <w:r>
        <w:rPr>
          <w:rFonts w:ascii="한양신명조" w:eastAsia="한양신명조"/>
          <w:sz w:val="18"/>
        </w:rPr>
        <w:t>Keywords는 3~5개 영문으로 표기하되 본문이 외국어인 경우는</w:t>
      </w:r>
      <w:r>
        <w:rPr>
          <w:sz w:val="18"/>
        </w:rPr>
        <w:t xml:space="preserve"> </w:t>
      </w:r>
      <w:r>
        <w:rPr>
          <w:rFonts w:ascii="한양신명조" w:eastAsia="한양신명조"/>
          <w:sz w:val="18"/>
        </w:rPr>
        <w:t>400단어 내외의 국문초록으로 기재</w:t>
      </w:r>
    </w:p>
  </w:comment>
</w:comments>
</file>

<file path=word/footnotes.xml><?xml version="1.0" encoding="utf-8"?>
<w:footnote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footnote w:id="4">
    <w:p>
      <w:pPr>
        <w:pStyle w:val="8"/>
        <w:widowControl w:val="off"/>
      </w:pPr>
      <w:r>
        <w:rPr>
          <w:rFonts w:ascii="함초롬바탕"/>
        </w:rPr>
        <w:t>†</w:t>
      </w:r>
      <w:r>
        <w:rPr>
          <w:rFonts w:ascii="함초롬바탕" w:eastAsia="함초롬바탕"/>
        </w:rPr>
        <w:t xml:space="preserve"> 사사표기</w:t>
      </w:r>
    </w:p>
    <w:p>
      <w:pPr>
        <w:pStyle w:val="8"/>
        <w:widowControl w:val="off"/>
        <w:ind w:left="140" w:hanging="140"/>
      </w:pPr>
      <w:r>
        <w:rPr>
          <w:rFonts w:ascii="함초롬바탕"/>
        </w:rPr>
        <w:t>‡</w:t>
      </w:r>
      <w:r>
        <w:rPr>
          <w:rFonts w:ascii="함초롬바탕" w:eastAsia="함초롬바탕"/>
        </w:rPr>
        <w:t xml:space="preserve"> 본고는 오민정의 2025년도 박사학위 논문 </w:t>
      </w:r>
      <w:r>
        <w:rPr>
          <w:rFonts w:ascii="함초롬바탕" w:eastAsia="함초롬바탕"/>
        </w:rPr>
        <w:t>｢도시개발과</w:t>
      </w:r>
      <w:r>
        <w:rPr>
          <w:rFonts w:ascii="함초롬바탕" w:eastAsia="함초롬바탕"/>
        </w:rPr>
        <w:t xml:space="preserve"> 한류문화 연구</w:t>
      </w:r>
      <w:r>
        <w:rPr>
          <w:rFonts w:ascii="함초롬바탕" w:eastAsia="함초롬바탕"/>
        </w:rPr>
        <w:t>｣의</w:t>
      </w:r>
      <w:r>
        <w:rPr>
          <w:rFonts w:ascii="함초롬바탕" w:eastAsia="함초롬바탕"/>
        </w:rPr>
        <w:t xml:space="preserve"> 일부를 발췌하여 재작성한 것임을 밝힙니다.</w:t>
      </w:r>
    </w:p>
    <w:p>
      <w:pPr>
        <w:pStyle w:val="8"/>
        <w:widowControl w:val="off"/>
      </w:pPr>
      <w:r/>
      <w:r>
        <w:rPr>
          <w:vertAlign w:val="superscript"/>
        </w:rPr>
        <w:footnoteRef/>
      </w:r>
      <w:r>
        <w:rPr>
          <w:rFonts w:ascii="함초롬바탕" w:eastAsia="함초롬바탕"/>
        </w:rPr>
        <w:t xml:space="preserve"> 주저자, 신한대학교 글로벌경영학과 부교수, (earthline@daum.net) </w:t>
      </w:r>
    </w:p>
  </w:footnote>
  <w:footnote w:id="5">
    <w:p>
      <w:pPr>
        <w:pStyle w:val="8"/>
        <w:widowControl w:val="off"/>
      </w:pPr>
      <w:r/>
      <w:r>
        <w:rPr>
          <w:vertAlign w:val="superscript"/>
        </w:rPr>
        <w:footnoteRef/>
      </w:r>
      <w:r>
        <w:rPr>
          <w:rFonts w:ascii="함초롬바탕" w:eastAsia="함초롬바탕"/>
        </w:rPr>
        <w:t xml:space="preserve"> 공동저자, 한국대학교 글로벌경영학과 겸임교수 (abcdd@university.kr)</w:t>
      </w:r>
    </w:p>
  </w:footnote>
  <w:footnote w:id="6">
    <w:p>
      <w:pPr>
        <w:pStyle w:val="8"/>
        <w:widowControl w:val="off"/>
      </w:pPr>
      <w:r/>
      <w:r>
        <w:rPr>
          <w:vertAlign w:val="superscript"/>
        </w:rPr>
        <w:footnoteRef/>
      </w:r>
      <w:r>
        <w:rPr/>
        <w:t xml:space="preserve"> 1</w:t>
      </w:r>
      <w:r>
        <w:rPr>
          <w:vertAlign w:val="superscript"/>
        </w:rPr>
        <w:t>st</w:t>
      </w:r>
      <w:r>
        <w:rPr/>
        <w:t xml:space="preserve"> author, Ph.D. professor, Department of Global Business, Shinhan University (earthline@daum.net) </w:t>
      </w:r>
    </w:p>
  </w:footnote>
  <w:footnote w:id="7">
    <w:p>
      <w:pPr>
        <w:pStyle w:val="8"/>
        <w:widowControl w:val="off"/>
      </w:pPr>
      <w:r/>
      <w:r>
        <w:rPr>
          <w:vertAlign w:val="superscript"/>
        </w:rPr>
        <w:footnoteRef/>
      </w:r>
      <w:r>
        <w:rPr/>
        <w:t xml:space="preserve"> Co-author, Associate Professor, Department of Global Business, Hankook University (ohmin@university.ac.kr)</w:t>
      </w:r>
    </w:p>
  </w:footnote>
</w:footnotes>
</file>

<file path=word/header4.xml><?xml version="1.0" encoding="utf-8"?>
<w:hdr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p>
    <w:pPr>
      <w:pStyle w:val="14"/>
      <w:widowControl w:val="off"/>
    </w:pPr>
    <w:r>
      <w:rPr>
        <w:rFonts w:ascii="한양신명조"/>
        <w:sz w:val="18"/>
      </w:rPr>
      <w:t xml:space="preserve"> </w:t>
    </w:r>
    <w:r>
      <w:rPr>
        <w:rFonts w:ascii="한양신명조"/>
        <w:sz w:val="18"/>
      </w:rPr>
      <w:t>www.kpcaa.or.kr</w:t>
    </w:r>
    <w:r>
      <w:rPr>
        <w:sz w:val="18"/>
      </w:rPr>
      <w:t xml:space="preserve"> </w:t>
    </w:r>
    <w:r>
      <w:pict>
        <v:line from="0.00pt, 0.00pt" to="396.85pt, 0.02pt" id="_x1854949145" style="v-text-anchor:top;mso-wrap-style:square;" o:hralign="left" o:allowincell="f" o:insetmode="custom" strokecolor="#191919" strokeweight="0.34pt" o:connectortype="straight">
          <wvml:wrap type="topAndBottom"/>
          <v:stroke/>
        </v:line>
      </w:pict>
    </w:r>
  </w:p>
  <w:p>
    <w:pPr>
      <w:pStyle w:val="14"/>
      <w:widowControl w:val="off"/>
      <w:rPr/>
    </w:pPr>
  </w:p>
</w:hdr>
</file>

<file path=word/header5.xml><?xml version="1.0" encoding="utf-8"?>
<w:hdr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p>
    <w:pPr>
      <w:pStyle w:val="15"/>
      <w:widowControl w:val="off"/>
    </w:pPr>
    <w:r>
      <w:rPr/>
      <w:t>문화경영연구 제22권 제X호</w:t>
    </w:r>
  </w:p>
  <w:p>
    <w:pPr>
      <w:pStyle w:val="14"/>
      <w:widowControl w:val="off"/>
    </w:pPr>
    <w:r>
      <w:pict>
        <v:line from="0.00pt, 0.00pt" to="396.85pt, 0.02pt" id="_x1948276391" style="v-text-anchor:top;mso-wrap-style:square;" o:hralign="left" o:allowincell="f" o:insetmode="custom" strokecolor="#191919" strokeweight="0.34pt" o:connectortype="straight">
          <wvml:wrap type="topAndBottom"/>
          <v:stroke/>
        </v:line>
      </w:pict>
    </w:r>
  </w:p>
</w:hdr>
</file>

<file path=word/header6.xml><?xml version="1.0" encoding="utf-8"?>
<w:hdr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p>
    <w:pPr>
      <w:pStyle w:val="14"/>
      <w:widowControl w:val="off"/>
    </w:pPr>
    <w:r>
      <w:rPr/>
      <w:t xml:space="preserve">지속가능성과 회복탄력성에 대한 전략 요인 분석 </w:t>
    </w:r>
  </w:p>
  <w:p>
    <w:pPr>
      <w:pStyle w:val="14"/>
      <w:widowControl w:val="off"/>
    </w:pPr>
    <w:r>
      <w:pict>
        <v:line from="0.00pt, 0.00pt" to="396.85pt, 0.02pt" id="_x1854949151" style="v-text-anchor:top;mso-wrap-style:square;" o:hralign="left" o:allowincell="f" o:insetmode="custom" strokecolor="#191919" strokeweight="0.34pt" o:connectortype="straight">
          <wvml:wrap type="topAndBottom"/>
          <v:stroke/>
        </v:line>
      </w:pict>
    </w:r>
  </w:p>
  <w:p>
    <w:pPr>
      <w:pStyle w:val="0"/>
      <w:widowControl w:val="off"/>
      <w:rPr/>
    </w:pPr>
  </w:p>
</w:hdr>
</file>

<file path=word/settings.xml><?xml version="1.0" encoding="utf-8"?>
<w:setting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zoom w:percent="100"/>
  <w:bordersDoNotSurroundHeader/>
  <w:bordersDoNotSurroundFooter/>
  <w:stylePaneFormatFilter w:val="0001"/>
  <w:evenAndOddHeaders/>
  <w:defaultTabStop w:val="800"/>
  <w:compat>
    <w:spaceForUL/>
    <w:balanceSingleByteDoubleByteWidth/>
    <w:doNotLeaveBackslashAlone/>
    <w:ulTrailSpace/>
    <w:doNotExpandShiftReturn/>
    <w:adjustLineHeightInTable/>
    <w:useFELayout/>
  </w:compat>
</w:settings>
</file>

<file path=word/styles.xml><?xml version="1.0" encoding="utf-8"?>
<w:style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style w:type="paragraph" w:styleId="0" w:default="1">
    <w:name w:val="바탕글"/>
    <w:uiPriority w:val="0"/>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408" w:lineRule="auto"/>
      <w:ind w:left="0" w:right="0" w:firstLine="0"/>
      <w:jc w:val="both"/>
      <w:textAlignment w:val="baseline"/>
    </w:pPr>
    <w:rPr>
      <w:rFonts w:ascii="Times New Roman" w:eastAsia="신명 신명조"/>
      <w:color w:val="000000"/>
      <w:spacing w:val="-5"/>
      <w:w w:val="97"/>
      <w:sz w:val="20"/>
      <w:shd w:val="clear" w:color="000000"/>
    </w:rPr>
  </w:style>
  <w:style w:type="character" w:styleId="1">
    <w:name w:val="참고문헌_고딕"/>
    <w:uiPriority w:val="1"/>
    <w:rPr>
      <w:rFonts w:ascii="고딕" w:eastAsia="고딕"/>
      <w:color w:val="000000"/>
      <w:spacing w:val="-5"/>
      <w:w w:val="97"/>
      <w:sz w:val="20"/>
      <w:shd w:val="clear" w:color="000000"/>
    </w:rPr>
  </w:style>
  <w:style w:type="paragraph" w:styleId="2">
    <w:name w:val="그림_제목"/>
    <w:uiPriority w:val="2"/>
    <w:pPr>
      <w:widowControl w:val="off"/>
      <w:pBdr>
        <w:top w:val="none" w:color="000000" w:sz="2" w:space="0"/>
        <w:left w:val="none" w:color="000000" w:sz="2" w:space="0"/>
        <w:bottom w:val="none" w:color="000000" w:sz="2" w:space="0"/>
        <w:right w:val="none" w:color="000000" w:sz="2" w:space="0"/>
      </w:pBdr>
      <w:wordWrap w:val="1"/>
      <w:autoSpaceDE w:val="off"/>
      <w:autoSpaceDN w:val="off"/>
      <w:snapToGrid w:val="off"/>
      <w:spacing w:before="0" w:after="0" w:line="408" w:lineRule="auto"/>
      <w:ind w:left="0" w:right="0" w:firstLine="0"/>
      <w:jc w:val="center"/>
      <w:textAlignment w:val="baseline"/>
    </w:pPr>
    <w:rPr>
      <w:rFonts w:ascii="한양중고딕" w:eastAsia="한양중고딕"/>
      <w:color w:val="000000"/>
      <w:spacing w:val="-5"/>
      <w:w w:val="97"/>
      <w:sz w:val="20"/>
      <w:shd w:val="clear" w:color="000000"/>
    </w:rPr>
  </w:style>
  <w:style w:type="paragraph" w:styleId="3">
    <w:name w:val="본문_내용"/>
    <w:uiPriority w:val="3"/>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408" w:lineRule="auto"/>
      <w:ind w:left="0" w:right="0" w:firstLine="200"/>
      <w:jc w:val="both"/>
      <w:textAlignment w:val="baseline"/>
    </w:pPr>
    <w:rPr>
      <w:rFonts w:ascii="한양신명조" w:eastAsia="한양신명조"/>
      <w:color w:val="000000"/>
      <w:spacing w:val="-5"/>
      <w:w w:val="95"/>
      <w:sz w:val="20"/>
      <w:shd w:val="clear" w:color="000000"/>
    </w:rPr>
  </w:style>
  <w:style w:type="paragraph" w:styleId="4">
    <w:name w:val="Ⅰ"/>
    <w:uiPriority w:val="4"/>
    <w:pPr>
      <w:widowControl w:val="off"/>
      <w:pBdr>
        <w:top w:val="none" w:color="000000" w:sz="2" w:space="0"/>
        <w:left w:val="none" w:color="000000" w:sz="2" w:space="0"/>
        <w:bottom w:val="none" w:color="000000" w:sz="2" w:space="0"/>
        <w:right w:val="none" w:color="000000" w:sz="2" w:space="0"/>
      </w:pBdr>
      <w:wordWrap w:val="1"/>
      <w:autoSpaceDE w:val="off"/>
      <w:autoSpaceDN w:val="off"/>
      <w:snapToGrid w:val="off"/>
      <w:spacing w:before="736" w:after="397" w:line="408" w:lineRule="auto"/>
      <w:ind w:left="0" w:right="0" w:firstLine="0"/>
      <w:jc w:val="center"/>
      <w:textAlignment w:val="baseline"/>
    </w:pPr>
    <w:rPr>
      <w:rFonts w:ascii="HYmjrE" w:eastAsia="HYmjrE"/>
      <w:color w:val="000000"/>
      <w:w w:val="95"/>
      <w:sz w:val="30"/>
      <w:shd w:val="clear" w:color="000000"/>
    </w:rPr>
  </w:style>
  <w:style w:type="paragraph" w:styleId="5">
    <w:name w:val="1.1"/>
    <w:uiPriority w:val="5"/>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396" w:after="170" w:line="408" w:lineRule="auto"/>
      <w:ind w:left="0" w:right="0" w:firstLine="0"/>
      <w:jc w:val="both"/>
      <w:textAlignment w:val="baseline"/>
    </w:pPr>
    <w:rPr>
      <w:rFonts w:ascii="#중고딕" w:eastAsia="#중고딕"/>
      <w:b/>
      <w:color w:val="000000"/>
      <w:spacing w:val="-10"/>
      <w:w w:val="95"/>
      <w:sz w:val="26"/>
      <w:shd w:val="clear" w:color="000000"/>
    </w:rPr>
  </w:style>
  <w:style w:type="paragraph" w:styleId="6">
    <w:name w:val="1.1.1"/>
    <w:uiPriority w:val="6"/>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170" w:after="114" w:line="408" w:lineRule="auto"/>
      <w:ind w:left="0" w:right="0" w:firstLine="200"/>
      <w:jc w:val="both"/>
      <w:textAlignment w:val="baseline"/>
    </w:pPr>
    <w:rPr>
      <w:rFonts w:ascii="#태명조" w:eastAsia="#태명조"/>
      <w:color w:val="000000"/>
      <w:spacing w:val="-9"/>
      <w:w w:val="95"/>
      <w:sz w:val="26"/>
      <w:shd w:val="clear" w:color="000000"/>
    </w:rPr>
  </w:style>
  <w:style w:type="paragraph" w:styleId="7">
    <w:name w:val="1.1.1.1"/>
    <w:uiPriority w:val="7"/>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114" w:after="40" w:line="408" w:lineRule="auto"/>
      <w:ind w:left="0" w:right="0" w:firstLine="200"/>
      <w:jc w:val="both"/>
      <w:textAlignment w:val="baseline"/>
    </w:pPr>
    <w:rPr>
      <w:rFonts w:ascii="#신문고딕" w:eastAsia="#신문고딕"/>
      <w:color w:val="000000"/>
      <w:spacing w:val="-5"/>
      <w:w w:val="95"/>
      <w:sz w:val="20"/>
      <w:shd w:val="clear" w:color="000000"/>
    </w:rPr>
  </w:style>
  <w:style w:type="paragraph" w:styleId="8">
    <w:name w:val="각주"/>
    <w:uiPriority w:val="8"/>
    <w:pPr>
      <w:widowControl w:val="off"/>
      <w:pBdr>
        <w:top w:val="none" w:color="000000" w:sz="2" w:space="0"/>
        <w:left w:val="none" w:color="000000" w:sz="2" w:space="0"/>
        <w:bottom w:val="none" w:color="000000" w:sz="2" w:space="0"/>
        <w:right w:val="none" w:color="000000" w:sz="2" w:space="0"/>
      </w:pBdr>
      <w:tabs>
        <w:tab w:val="left" w:leader="none" w:pos="244"/>
        <w:tab w:val="left" w:leader="none" w:pos="320"/>
      </w:tabs>
      <w:wordWrap w:val="0"/>
      <w:autoSpaceDE w:val="off"/>
      <w:autoSpaceDN w:val="off"/>
      <w:snapToGrid w:val="off"/>
      <w:spacing w:before="0" w:after="0" w:line="312" w:lineRule="auto"/>
      <w:ind w:left="238" w:right="0" w:hanging="238"/>
      <w:jc w:val="both"/>
      <w:textAlignment w:val="baseline"/>
    </w:pPr>
    <w:rPr>
      <w:rFonts w:ascii="Times New Roman" w:eastAsia="신명 신명조"/>
      <w:color w:val="000000"/>
      <w:spacing w:val="-4"/>
      <w:w w:val="97"/>
      <w:sz w:val="18"/>
      <w:shd w:val="clear" w:color="000000"/>
    </w:rPr>
  </w:style>
  <w:style w:type="character" w:styleId="9">
    <w:name w:val="참고문헌_이탤릭"/>
    <w:uiPriority w:val="9"/>
    <w:rPr>
      <w:rFonts w:ascii="Times New Roman" w:eastAsia="신명 신명조"/>
      <w:i/>
      <w:color w:val="000000"/>
      <w:spacing w:val="-5"/>
      <w:w w:val="97"/>
      <w:sz w:val="20"/>
      <w:shd w:val="clear" w:color="000000"/>
    </w:rPr>
  </w:style>
  <w:style w:type="paragraph" w:styleId="10">
    <w:name w:val="표_제목"/>
    <w:uiPriority w:val="10"/>
    <w:pPr>
      <w:widowControl w:val="off"/>
      <w:pBdr>
        <w:top w:val="none" w:color="000000" w:sz="2" w:space="0"/>
        <w:left w:val="none" w:color="000000" w:sz="2" w:space="0"/>
        <w:bottom w:val="none" w:color="000000" w:sz="2" w:space="0"/>
        <w:right w:val="none" w:color="000000" w:sz="2" w:space="0"/>
      </w:pBdr>
      <w:wordWrap w:val="1"/>
      <w:autoSpaceDE w:val="off"/>
      <w:autoSpaceDN w:val="off"/>
      <w:snapToGrid w:val="off"/>
      <w:spacing w:before="0" w:after="0" w:line="384" w:lineRule="auto"/>
      <w:ind w:left="0" w:right="0" w:firstLine="0"/>
      <w:jc w:val="center"/>
      <w:textAlignment w:val="baseline"/>
    </w:pPr>
    <w:rPr>
      <w:rFonts w:ascii="#중고딕" w:eastAsia="#중고딕"/>
      <w:color w:val="000000"/>
      <w:spacing w:val="-7"/>
      <w:w w:val="95"/>
      <w:sz w:val="20"/>
      <w:shd w:val="clear" w:color="000000"/>
    </w:rPr>
  </w:style>
  <w:style w:type="paragraph" w:styleId="11">
    <w:name w:val="표_구분"/>
    <w:uiPriority w:val="11"/>
    <w:pPr>
      <w:widowControl w:val="off"/>
      <w:pBdr>
        <w:top w:val="none" w:color="000000" w:sz="2" w:space="0"/>
        <w:left w:val="none" w:color="000000" w:sz="2" w:space="0"/>
        <w:bottom w:val="none" w:color="000000" w:sz="2" w:space="0"/>
        <w:right w:val="none" w:color="000000" w:sz="2" w:space="0"/>
      </w:pBdr>
      <w:wordWrap w:val="1"/>
      <w:autoSpaceDE w:val="off"/>
      <w:autoSpaceDN w:val="off"/>
      <w:snapToGrid w:val="off"/>
      <w:spacing w:before="0" w:after="0" w:line="357" w:lineRule="auto"/>
      <w:ind w:left="0" w:right="0" w:firstLine="0"/>
      <w:jc w:val="center"/>
      <w:textAlignment w:val="baseline"/>
    </w:pPr>
    <w:rPr>
      <w:rFonts w:ascii="한양중고딕" w:eastAsia="한양중고딕"/>
      <w:color w:val="000000"/>
      <w:spacing w:val="-4"/>
      <w:w w:val="95"/>
      <w:sz w:val="18"/>
      <w:shd w:val="clear" w:color="000000"/>
    </w:rPr>
  </w:style>
  <w:style w:type="paragraph" w:styleId="12">
    <w:name w:val="표_내용"/>
    <w:uiPriority w:val="12"/>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60" w:lineRule="auto"/>
      <w:ind w:left="0" w:right="0" w:firstLine="0"/>
      <w:jc w:val="both"/>
      <w:textAlignment w:val="baseline"/>
    </w:pPr>
    <w:rPr>
      <w:rFonts w:ascii="Times New Roman" w:eastAsia="신명 신명조"/>
      <w:color w:val="000000"/>
      <w:spacing w:val="-4"/>
      <w:w w:val="97"/>
      <w:sz w:val="18"/>
      <w:shd w:val="clear" w:color="000000"/>
    </w:rPr>
  </w:style>
  <w:style w:type="paragraph" w:styleId="13">
    <w:name w:val="쪽 번호"/>
    <w:uiPriority w:val="13"/>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240" w:lineRule="auto"/>
      <w:ind w:left="0" w:right="0" w:firstLine="0"/>
      <w:jc w:val="both"/>
      <w:textAlignment w:val="baseline"/>
    </w:pPr>
    <w:rPr>
      <w:rFonts w:ascii="HCI Hollyhock" w:eastAsia="휴먼고딕"/>
      <w:color w:val="000000"/>
      <w:w w:val="80"/>
      <w:sz w:val="20"/>
      <w:shd w:val="clear" w:color="000000"/>
    </w:rPr>
  </w:style>
  <w:style w:type="paragraph" w:styleId="14">
    <w:name w:val="머리말-홀수(중고딕10)"/>
    <w:uiPriority w:val="14"/>
    <w:pPr>
      <w:widowControl w:val="off"/>
      <w:pBdr>
        <w:top w:val="none" w:color="000000" w:sz="2" w:space="0"/>
        <w:left w:val="none" w:color="000000" w:sz="2" w:space="0"/>
        <w:bottom w:val="none" w:color="000000" w:sz="2" w:space="0"/>
        <w:right w:val="none" w:color="000000" w:sz="2" w:space="0"/>
      </w:pBdr>
      <w:wordWrap w:val="1"/>
      <w:autoSpaceDE w:val="off"/>
      <w:autoSpaceDN w:val="off"/>
      <w:snapToGrid w:val="off"/>
      <w:spacing w:before="0" w:after="0" w:line="144" w:lineRule="auto"/>
      <w:ind w:left="0" w:right="400" w:firstLine="0"/>
      <w:jc w:val="right"/>
      <w:textAlignment w:val="baseline"/>
    </w:pPr>
    <w:rPr>
      <w:rFonts w:ascii="한양중고딕" w:eastAsia="한양중고딕"/>
      <w:color w:val="000000"/>
      <w:spacing w:val="-5"/>
      <w:w w:val="90"/>
      <w:sz w:val="20"/>
      <w:shd w:val="clear" w:color="000000"/>
    </w:rPr>
  </w:style>
  <w:style w:type="paragraph" w:styleId="15">
    <w:name w:val="머리말-짝수(중고딕10)"/>
    <w:uiPriority w:val="15"/>
    <w:pPr>
      <w:widowControl w:val="off"/>
      <w:pBdr>
        <w:top w:val="none" w:color="000000" w:sz="2" w:space="0"/>
        <w:left w:val="none" w:color="000000" w:sz="2" w:space="0"/>
        <w:bottom w:val="none" w:color="000000" w:sz="2" w:space="0"/>
        <w:right w:val="none" w:color="000000" w:sz="2" w:space="0"/>
      </w:pBdr>
      <w:wordWrap w:val="1"/>
      <w:autoSpaceDE w:val="off"/>
      <w:autoSpaceDN w:val="off"/>
      <w:snapToGrid w:val="off"/>
      <w:spacing w:before="0" w:after="0" w:line="144" w:lineRule="auto"/>
      <w:ind w:left="400" w:right="0" w:firstLine="0"/>
      <w:jc w:val="left"/>
      <w:textAlignment w:val="baseline"/>
    </w:pPr>
    <w:rPr>
      <w:rFonts w:ascii="한양중고딕" w:eastAsia="한양중고딕"/>
      <w:color w:val="000000"/>
      <w:spacing w:val="-5"/>
      <w:w w:val="90"/>
      <w:sz w:val="20"/>
      <w:shd w:val="clear" w:color="000000"/>
    </w:rPr>
  </w:style>
  <w:style w:type="paragraph" w:styleId="16">
    <w:name w:val="논문_발행일"/>
    <w:uiPriority w:val="16"/>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12" w:lineRule="auto"/>
      <w:ind w:left="0" w:right="0" w:firstLine="0"/>
      <w:jc w:val="both"/>
      <w:textAlignment w:val="baseline"/>
    </w:pPr>
    <w:rPr>
      <w:rFonts w:ascii="Times New Roman" w:eastAsia="신명 신명조"/>
      <w:color w:val="000000"/>
      <w:spacing w:val="-4"/>
      <w:w w:val="97"/>
      <w:sz w:val="18"/>
      <w:shd w:val="clear" w:color="000000"/>
    </w:rPr>
  </w:style>
  <w:style w:type="paragraph" w:styleId="17">
    <w:name w:val="논문_제목"/>
    <w:uiPriority w:val="17"/>
    <w:pPr>
      <w:widowControl w:val="off"/>
      <w:pBdr>
        <w:top w:val="none" w:color="000000" w:sz="2" w:space="0"/>
        <w:left w:val="none" w:color="000000" w:sz="2" w:space="0"/>
        <w:bottom w:val="none" w:color="000000" w:sz="2" w:space="0"/>
        <w:right w:val="none" w:color="000000" w:sz="2" w:space="0"/>
      </w:pBdr>
      <w:wordWrap w:val="1"/>
      <w:autoSpaceDE w:val="off"/>
      <w:autoSpaceDN w:val="off"/>
      <w:snapToGrid w:val="off"/>
      <w:spacing w:before="397" w:after="397" w:line="408" w:lineRule="auto"/>
      <w:ind w:left="0" w:right="0" w:firstLine="0"/>
      <w:jc w:val="center"/>
      <w:textAlignment w:val="baseline"/>
    </w:pPr>
    <w:rPr>
      <w:rFonts w:ascii="한양신명조" w:eastAsia="한양신명조"/>
      <w:b/>
      <w:color w:val="000000"/>
      <w:spacing w:val="-8"/>
      <w:w w:val="95"/>
      <w:sz w:val="34"/>
      <w:shd w:val="clear" w:color="000000"/>
    </w:rPr>
  </w:style>
  <w:style w:type="paragraph" w:styleId="18">
    <w:name w:val="논문_접수일"/>
    <w:uiPriority w:val="18"/>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57" w:line="360" w:lineRule="auto"/>
      <w:ind w:left="232" w:right="0" w:hanging="232"/>
      <w:jc w:val="both"/>
      <w:textAlignment w:val="baseline"/>
    </w:pPr>
    <w:rPr>
      <w:rFonts w:ascii="#중고딕" w:eastAsia="#중고딕"/>
      <w:color w:val="000000"/>
      <w:spacing w:val="-6"/>
      <w:w w:val="95"/>
      <w:sz w:val="18"/>
      <w:shd w:val="clear" w:color="000000"/>
    </w:rPr>
  </w:style>
  <w:style w:type="paragraph" w:styleId="19">
    <w:name w:val="요약_제목"/>
    <w:uiPriority w:val="19"/>
    <w:pPr>
      <w:widowControl w:val="off"/>
      <w:pBdr>
        <w:top w:val="none" w:color="000000" w:sz="2" w:space="0"/>
        <w:left w:val="none" w:color="000000" w:sz="2" w:space="0"/>
        <w:bottom w:val="none" w:color="000000" w:sz="2" w:space="0"/>
        <w:right w:val="none" w:color="000000" w:sz="2" w:space="0"/>
      </w:pBdr>
      <w:wordWrap w:val="1"/>
      <w:autoSpaceDE w:val="off"/>
      <w:autoSpaceDN w:val="off"/>
      <w:snapToGrid w:val="off"/>
      <w:spacing w:before="0" w:after="0" w:line="405" w:lineRule="auto"/>
      <w:ind w:left="0" w:right="0" w:firstLine="0"/>
      <w:jc w:val="center"/>
      <w:textAlignment w:val="baseline"/>
    </w:pPr>
    <w:rPr>
      <w:rFonts w:ascii="신명 중고딕" w:eastAsia="신명 중고딕"/>
      <w:color w:val="000000"/>
      <w:spacing w:val="-5"/>
      <w:w w:val="95"/>
      <w:sz w:val="20"/>
      <w:shd w:val="clear" w:color="000000"/>
    </w:rPr>
  </w:style>
  <w:style w:type="paragraph" w:styleId="20">
    <w:name w:val="요약"/>
    <w:uiPriority w:val="20"/>
    <w:pPr>
      <w:widowControl w:val="off"/>
      <w:pBdr>
        <w:top w:val="none" w:color="000000" w:sz="3" w:space="0"/>
        <w:left w:val="none" w:color="000000" w:sz="3" w:space="0"/>
        <w:bottom w:val="none" w:color="000000" w:sz="3" w:space="0"/>
        <w:right w:val="none" w:color="000000" w:sz="3" w:space="0"/>
      </w:pBdr>
      <w:wordWrap w:val="0"/>
      <w:autoSpaceDE w:val="off"/>
      <w:autoSpaceDN w:val="off"/>
      <w:snapToGrid w:val="off"/>
      <w:spacing w:before="0" w:after="0" w:line="324" w:lineRule="auto"/>
      <w:ind w:left="0" w:right="0" w:firstLine="138"/>
      <w:jc w:val="both"/>
      <w:textAlignment w:val="baseline"/>
    </w:pPr>
    <w:rPr>
      <w:rFonts w:ascii="Times New Roman" w:eastAsia="신명 신명조"/>
      <w:color w:val="000000"/>
      <w:spacing w:val="-4"/>
      <w:w w:val="97"/>
      <w:sz w:val="18"/>
      <w:shd w:val="clear" w:color="000000"/>
    </w:rPr>
  </w:style>
  <w:style w:type="paragraph" w:styleId="21">
    <w:name w:val="색인어"/>
    <w:uiPriority w:val="21"/>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57" w:lineRule="auto"/>
      <w:ind w:left="1170" w:right="0" w:hanging="1070"/>
      <w:jc w:val="both"/>
      <w:textAlignment w:val="baseline"/>
    </w:pPr>
    <w:rPr>
      <w:rFonts w:ascii="Times New Roman" w:eastAsia="신명 신명조"/>
      <w:color w:val="000000"/>
      <w:spacing w:val="-4"/>
      <w:w w:val="97"/>
      <w:sz w:val="18"/>
      <w:shd w:val="clear" w:color="000000"/>
    </w:rPr>
  </w:style>
  <w:style w:type="paragraph" w:styleId="22">
    <w:name w:val="참고문헌 제목"/>
    <w:uiPriority w:val="22"/>
    <w:pPr>
      <w:widowControl w:val="off"/>
      <w:pBdr>
        <w:top w:val="none" w:color="000000" w:sz="2" w:space="0"/>
        <w:left w:val="none" w:color="000000" w:sz="2" w:space="0"/>
        <w:bottom w:val="none" w:color="000000" w:sz="2" w:space="0"/>
        <w:right w:val="none" w:color="000000" w:sz="2" w:space="0"/>
      </w:pBdr>
      <w:wordWrap w:val="1"/>
      <w:autoSpaceDE w:val="off"/>
      <w:autoSpaceDN w:val="off"/>
      <w:snapToGrid w:val="off"/>
      <w:spacing w:before="0" w:after="397" w:line="408" w:lineRule="auto"/>
      <w:ind w:left="0" w:right="0" w:firstLine="0"/>
      <w:jc w:val="center"/>
      <w:textAlignment w:val="baseline"/>
    </w:pPr>
    <w:rPr>
      <w:rFonts w:ascii="#태명조" w:eastAsia="#태명조"/>
      <w:color w:val="000000"/>
      <w:w w:val="95"/>
      <w:sz w:val="30"/>
      <w:shd w:val="clear" w:color="000000"/>
    </w:rPr>
  </w:style>
  <w:style w:type="paragraph" w:styleId="23">
    <w:name w:val="참고문헌"/>
    <w:uiPriority w:val="23"/>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600" w:right="0" w:hanging="600"/>
      <w:jc w:val="both"/>
      <w:textAlignment w:val="baseline"/>
    </w:pPr>
    <w:rPr>
      <w:rFonts w:ascii="Times New Roman" w:eastAsia="신명 신명조"/>
      <w:color w:val="000000"/>
      <w:spacing w:val="-5"/>
      <w:w w:val="97"/>
      <w:sz w:val="20"/>
      <w:shd w:val="clear" w:color="000000"/>
    </w:rPr>
  </w:style>
  <w:style w:type="paragraph" w:styleId="24">
    <w:name w:val="논문_저자"/>
    <w:uiPriority w:val="24"/>
    <w:pPr>
      <w:widowControl w:val="off"/>
      <w:pBdr>
        <w:top w:val="none" w:color="000000" w:sz="2" w:space="0"/>
        <w:left w:val="none" w:color="000000" w:sz="2" w:space="0"/>
        <w:bottom w:val="none" w:color="000000" w:sz="2" w:space="0"/>
        <w:right w:val="none" w:color="000000" w:sz="2" w:space="0"/>
      </w:pBdr>
      <w:wordWrap w:val="1"/>
      <w:autoSpaceDE w:val="off"/>
      <w:autoSpaceDN w:val="off"/>
      <w:snapToGrid w:val="off"/>
      <w:spacing w:before="0" w:after="397" w:line="408" w:lineRule="auto"/>
      <w:ind w:left="0" w:right="0" w:firstLine="0"/>
      <w:jc w:val="center"/>
      <w:textAlignment w:val="baseline"/>
    </w:pPr>
    <w:rPr>
      <w:rFonts w:ascii="한양견명조" w:eastAsia="한양견명조"/>
      <w:color w:val="000000"/>
      <w:spacing w:val="-6"/>
      <w:w w:val="95"/>
      <w:sz w:val="24"/>
      <w:shd w:val="clear" w:color="000000"/>
    </w:rPr>
  </w:style>
  <w:style w:type="paragraph" w:styleId="25">
    <w:name w:val="본문-"/>
    <w:uiPriority w:val="25"/>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408" w:lineRule="auto"/>
      <w:ind w:left="0" w:right="0" w:firstLine="200"/>
      <w:jc w:val="both"/>
      <w:textAlignment w:val="baseline"/>
    </w:pPr>
    <w:rPr>
      <w:rFonts w:ascii="Times New Roman" w:eastAsia="신명 신명조"/>
      <w:color w:val="000000"/>
      <w:spacing w:val="-5"/>
      <w:w w:val="97"/>
      <w:sz w:val="20"/>
      <w:shd w:val="clear" w:color="000000"/>
    </w:rPr>
  </w:style>
  <w:style w:type="character" w:styleId="26">
    <w:name w:val="색인어_타이틀"/>
    <w:uiPriority w:val="26"/>
    <w:rPr>
      <w:rFonts w:ascii="한양중고딕" w:eastAsia="한양중고딕"/>
      <w:color w:val="000000"/>
      <w:spacing w:val="-6"/>
      <w:w w:val="95"/>
      <w:sz w:val="18"/>
      <w:shd w:val="clear" w:color="000000"/>
    </w:rPr>
  </w:style>
  <w:style w:type="paragraph" w:styleId="27">
    <w:name w:val="논문제목"/>
    <w:uiPriority w:val="27"/>
    <w:pPr>
      <w:widowControl w:val="off"/>
      <w:pBdr>
        <w:top w:val="none" w:color="000000" w:sz="2" w:space="0"/>
        <w:left w:val="none" w:color="000000" w:sz="2" w:space="0"/>
        <w:bottom w:val="none" w:color="000000" w:sz="2" w:space="0"/>
        <w:right w:val="none" w:color="000000" w:sz="2" w:space="0"/>
      </w:pBdr>
      <w:wordWrap w:val="1"/>
      <w:autoSpaceDE w:val="off"/>
      <w:autoSpaceDN w:val="off"/>
      <w:snapToGrid/>
      <w:spacing w:before="0" w:after="0" w:line="384" w:lineRule="auto"/>
      <w:ind w:left="0" w:right="0" w:firstLine="0"/>
      <w:jc w:val="center"/>
      <w:textAlignment w:val="baseline"/>
    </w:pPr>
    <w:rPr>
      <w:rFonts w:ascii="HCI Poppy" w:eastAsia="휴먼명조"/>
      <w:b/>
      <w:color w:val="000000"/>
      <w:sz w:val="28"/>
    </w:rPr>
  </w:style>
  <w:style w:type="paragraph" w:styleId="28">
    <w:name w:val="절제목"/>
    <w:uiPriority w:val="28"/>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80" w:after="60" w:line="384" w:lineRule="auto"/>
      <w:ind w:left="0" w:right="0" w:firstLine="200"/>
      <w:jc w:val="both"/>
      <w:textAlignment w:val="baseline"/>
    </w:pPr>
    <w:rPr>
      <w:rFonts w:ascii="한양신명조" w:eastAsia="한양신명조"/>
      <w:b/>
      <w:color w:val="000000"/>
      <w:spacing w:val="-4"/>
      <w:sz w:val="22"/>
    </w:rPr>
  </w:style>
  <w:style w:type="paragraph" w:styleId="29">
    <w:name w:val="본문"/>
    <w:uiPriority w:val="29"/>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0" w:right="0" w:firstLine="200"/>
      <w:jc w:val="both"/>
      <w:textAlignment w:val="baseline"/>
    </w:pPr>
    <w:rPr>
      <w:rFonts w:ascii="한양신명조" w:eastAsia="한양신명조"/>
      <w:color w:val="000000"/>
      <w:spacing w:val="-4"/>
      <w:sz w:val="20"/>
    </w:rPr>
  </w:style>
</w:styles>
</file>

<file path=word/_rels/document.xml.rels><?xml version="1.0" encoding="UTF-8" standalone="yes" ?><Relationships xmlns="http://schemas.openxmlformats.org/package/2006/relationships"><Relationship Id="rId1" Type="http://schemas.openxmlformats.org/officeDocument/2006/relationships/header" Target="header4.xml"  /><Relationship Id="rId2" Type="http://schemas.openxmlformats.org/officeDocument/2006/relationships/header" Target="header5.xml"  /><Relationship Id="rId3" Type="http://schemas.openxmlformats.org/officeDocument/2006/relationships/comments" Target="comments.xml"  /><Relationship Id="rId4" Type="http://schemas.openxmlformats.org/officeDocument/2006/relationships/footnotes" Target="footnotes.xml"  /><Relationship Id="rId5" Type="http://schemas.openxmlformats.org/officeDocument/2006/relationships/header" Target="header6.xml"  /><Relationship Id="rId6" Type="http://schemas.openxmlformats.org/officeDocument/2006/relationships/image" Target="media/image2.png"  /><Relationship Id="rId7" Type="http://schemas.openxmlformats.org/officeDocument/2006/relationships/settings" Target="settings.xml"  /><Relationship Id="rId8" Type="http://schemas.openxmlformats.org/officeDocument/2006/relationships/styles" Target="styles.xml"  /></Relationships>
</file>

<file path=docProps/app.xml><?xml version="1.0" encoding="utf-8"?>
<ep:Properties xmlns:r="http://schemas.openxmlformats.org/officeDocument/2006/relationships" xmlns:ep="http://schemas.openxmlformats.org/officeDocument/2006/extended-properties" xmlns:vt="http://schemas.openxmlformats.org/officeDocument/2006/docPropsVTypes">
  <ep:Application>Hancom Office Hanword</ep:Application>
  <ep:AppVersion>12.3</ep:AppVersion>
</ep:Properties>
</file>

<file path=docProps/core.xml><?xml version="1.0" encoding="utf-8"?>
<cp:coreProperties xmlns:r="http://schemas.openxmlformats.org/officeDocument/2006/relationships" xmlns:cp="http://schemas.openxmlformats.org/package/2006/metadata/core-properties" xmlns:dc="http://purl.org/dc/elements/1.1/" xmlns:dcterms="http://purl.org/dc/terms/" xmlns:dcmitype="http://purl.org/dc/dcmitype/" xmlns:xsi="http://www.w3.org/2001/XMLSchema-instance">
  <dc:title>Abstract</dc:title>
  <cp:lastModifiedBy>user</cp:lastModifiedBy>
  <dcterms:created xsi:type="dcterms:W3CDTF">2008-09-02T15:08:34.965</dcterms:created>
  <dcterms:modified xsi:type="dcterms:W3CDTF">2026-07-29T08:21:51.670</dcterms:modified>
  <cp:version>0501.0001.01</cp:version>
</cp:coreProperties>
</file>